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Default="008B0310">
      <w:r>
        <w:rPr>
          <w:rFonts w:ascii="Arial" w:hAnsi="Arial" w:cs="Arial"/>
          <w:color w:val="000000"/>
          <w:sz w:val="20"/>
          <w:szCs w:val="20"/>
        </w:rPr>
        <w:t>Suplementação proteico, energética e proteico/energética para bovinos mantidos a pasto (avaliação de alimentos alternativos e aditivos)</w:t>
      </w:r>
      <w:bookmarkStart w:id="0" w:name="_GoBack"/>
      <w:bookmarkEnd w:id="0"/>
    </w:p>
    <w:p w:rsidR="008B0310" w:rsidRDefault="008B0310" w:rsidP="008B0310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Avaliar o efeito dos diferentes sistemas de suplementação a pasto através de ensaios onde serão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abordado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desempenho animal, consumo de nutrientes,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digestibilidade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nutrientes, síntese de proteína microbiana (derivados de Purina), microbiologia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ruminal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parâmetros ruminais, uso de moduladores da fermentação animal, uso da alimentos alternativos e aditivos para bovinos.</w:t>
      </w:r>
    </w:p>
    <w:sectPr w:rsidR="008B0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10"/>
    <w:rsid w:val="00146890"/>
    <w:rsid w:val="008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2A8EE-D032-4341-8BC8-B1C6CDAF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2024-04-18T12:18:00Z</dcterms:created>
  <dcterms:modified xsi:type="dcterms:W3CDTF">2024-04-18T12:18:00Z</dcterms:modified>
</cp:coreProperties>
</file>