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8F" w:rsidRPr="00001C49" w:rsidRDefault="002D098F" w:rsidP="002D098F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>UNIVERSIDADE ESTADUAL DE MARINGÁ</w:t>
      </w:r>
    </w:p>
    <w:p w:rsidR="002D098F" w:rsidRPr="00001C49" w:rsidRDefault="002D098F" w:rsidP="002D098F">
      <w:pPr>
        <w:spacing w:before="120"/>
        <w:ind w:right="-426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 xml:space="preserve">PROGRAMA DE PÓS-GRADUAÇÃO </w:t>
      </w:r>
      <w:smartTag w:uri="urn:schemas-microsoft-com:office:smarttags" w:element="PersonName">
        <w:smartTagPr>
          <w:attr w:name="ProductID" w:val="EM BIOCIￊNCIAS E FISIOPATOLOGIA"/>
        </w:smartTagPr>
        <w:r w:rsidRPr="00001C49">
          <w:rPr>
            <w:rFonts w:ascii="Arial" w:hAnsi="Arial" w:cs="Arial"/>
            <w:b/>
            <w:sz w:val="22"/>
            <w:szCs w:val="22"/>
          </w:rPr>
          <w:t xml:space="preserve">EM BIOCIÊNCIAS </w:t>
        </w:r>
        <w:r>
          <w:rPr>
            <w:rFonts w:ascii="Arial" w:hAnsi="Arial" w:cs="Arial"/>
            <w:b/>
            <w:sz w:val="22"/>
            <w:szCs w:val="22"/>
          </w:rPr>
          <w:t>E FISIOPATOLOGIA</w:t>
        </w:r>
      </w:smartTag>
    </w:p>
    <w:p w:rsidR="002D098F" w:rsidRPr="00001C49" w:rsidRDefault="002D098F" w:rsidP="002D098F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2D098F" w:rsidRPr="00001C49" w:rsidTr="002D098F">
        <w:tblPrEx>
          <w:tblCellMar>
            <w:top w:w="0" w:type="dxa"/>
            <w:bottom w:w="0" w:type="dxa"/>
          </w:tblCellMar>
        </w:tblPrEx>
        <w:tc>
          <w:tcPr>
            <w:tcW w:w="8978" w:type="dxa"/>
            <w:shd w:val="pct15" w:color="auto" w:fill="FFFFFF"/>
          </w:tcPr>
          <w:p w:rsidR="002D098F" w:rsidRPr="00001C49" w:rsidRDefault="002D098F" w:rsidP="002D098F">
            <w:pPr>
              <w:pStyle w:val="Ttulo1"/>
              <w:spacing w:before="40" w:after="40"/>
              <w:rPr>
                <w:rFonts w:cs="Arial"/>
                <w:sz w:val="22"/>
                <w:szCs w:val="22"/>
              </w:rPr>
            </w:pPr>
            <w:r w:rsidRPr="00001C49">
              <w:rPr>
                <w:rFonts w:cs="Arial"/>
                <w:sz w:val="22"/>
                <w:szCs w:val="22"/>
              </w:rPr>
              <w:t>PROGRAMA DA DISCIPLINA</w:t>
            </w:r>
          </w:p>
        </w:tc>
      </w:tr>
    </w:tbl>
    <w:p w:rsidR="002D098F" w:rsidRPr="00001C49" w:rsidRDefault="002D098F" w:rsidP="002D098F">
      <w:pPr>
        <w:rPr>
          <w:rFonts w:ascii="Arial" w:hAnsi="Arial" w:cs="Arial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4489"/>
      </w:tblGrid>
      <w:tr w:rsidR="002D098F" w:rsidRPr="00001C49" w:rsidTr="00767793">
        <w:tblPrEx>
          <w:tblCellMar>
            <w:top w:w="0" w:type="dxa"/>
            <w:bottom w:w="0" w:type="dxa"/>
          </w:tblCellMar>
        </w:tblPrEx>
        <w:tc>
          <w:tcPr>
            <w:tcW w:w="8978" w:type="dxa"/>
            <w:gridSpan w:val="4"/>
          </w:tcPr>
          <w:p w:rsidR="002D098F" w:rsidRPr="002D098F" w:rsidRDefault="002D098F" w:rsidP="002D098F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A434A7">
              <w:rPr>
                <w:rFonts w:ascii="Arial" w:hAnsi="Arial" w:cs="Arial"/>
                <w:b/>
                <w:sz w:val="20"/>
              </w:rPr>
              <w:t>CÓDIGO</w:t>
            </w:r>
            <w:r w:rsidRPr="00A434A7">
              <w:rPr>
                <w:rFonts w:ascii="Arial" w:hAnsi="Arial" w:cs="Arial"/>
                <w:sz w:val="22"/>
                <w:szCs w:val="22"/>
              </w:rPr>
              <w:t>:</w:t>
            </w:r>
            <w:r w:rsidRPr="00A434A7">
              <w:rPr>
                <w:rFonts w:ascii="Arial" w:hAnsi="Arial"/>
                <w:sz w:val="22"/>
                <w:szCs w:val="22"/>
              </w:rPr>
              <w:t xml:space="preserve"> DAC4050</w:t>
            </w:r>
          </w:p>
          <w:p w:rsidR="002D098F" w:rsidRDefault="002D098F" w:rsidP="002D098F">
            <w:pPr>
              <w:spacing w:before="120" w:after="120"/>
              <w:jc w:val="both"/>
              <w:rPr>
                <w:rFonts w:ascii="Arial" w:hAnsi="Arial"/>
                <w:sz w:val="20"/>
              </w:rPr>
            </w:pPr>
            <w:r w:rsidRPr="00A434A7">
              <w:rPr>
                <w:rFonts w:ascii="Arial" w:hAnsi="Arial" w:cs="Arial"/>
                <w:b/>
                <w:sz w:val="20"/>
              </w:rPr>
              <w:t>NOME</w:t>
            </w:r>
            <w:r w:rsidRPr="002D098F">
              <w:rPr>
                <w:rFonts w:ascii="Arial" w:hAnsi="Arial" w:cs="Arial"/>
                <w:sz w:val="20"/>
              </w:rPr>
              <w:t>:</w:t>
            </w:r>
            <w:r w:rsidR="00A434A7">
              <w:rPr>
                <w:rFonts w:ascii="Arial" w:hAnsi="Arial" w:cs="Arial"/>
                <w:sz w:val="20"/>
              </w:rPr>
              <w:t xml:space="preserve"> </w:t>
            </w:r>
            <w:r w:rsidRPr="00A434A7">
              <w:rPr>
                <w:rFonts w:ascii="Arial" w:hAnsi="Arial"/>
                <w:sz w:val="22"/>
                <w:szCs w:val="22"/>
              </w:rPr>
              <w:t>T</w:t>
            </w:r>
            <w:r w:rsidR="00A434A7">
              <w:rPr>
                <w:rFonts w:ascii="Arial" w:hAnsi="Arial"/>
                <w:sz w:val="22"/>
                <w:szCs w:val="22"/>
              </w:rPr>
              <w:t>écnicas de citologia e histologia no estudo e diagnóstico de doenças infecciosas</w:t>
            </w:r>
          </w:p>
          <w:p w:rsidR="00A434A7" w:rsidRPr="00001C49" w:rsidRDefault="00A434A7" w:rsidP="002D098F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A434A7">
              <w:rPr>
                <w:rFonts w:ascii="Arial" w:hAnsi="Arial"/>
                <w:b/>
                <w:sz w:val="20"/>
              </w:rPr>
              <w:t>CURSO</w:t>
            </w:r>
            <w:r w:rsidR="005D0626">
              <w:rPr>
                <w:rFonts w:ascii="Arial" w:hAnsi="Arial"/>
                <w:sz w:val="20"/>
              </w:rPr>
              <w:t>: M</w:t>
            </w:r>
            <w:r>
              <w:rPr>
                <w:rFonts w:ascii="Arial" w:hAnsi="Arial"/>
                <w:sz w:val="20"/>
              </w:rPr>
              <w:t>es</w:t>
            </w:r>
            <w:r w:rsidR="005D0626">
              <w:rPr>
                <w:rFonts w:ascii="Arial" w:hAnsi="Arial"/>
                <w:sz w:val="20"/>
              </w:rPr>
              <w:t xml:space="preserve">trado e Doutorado </w:t>
            </w:r>
          </w:p>
        </w:tc>
      </w:tr>
      <w:tr w:rsidR="005D0626" w:rsidRPr="00001C49" w:rsidTr="0076779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489" w:type="dxa"/>
            <w:gridSpan w:val="3"/>
          </w:tcPr>
          <w:p w:rsidR="005D0626" w:rsidRPr="00001C49" w:rsidRDefault="005D0626" w:rsidP="002D098F">
            <w:pPr>
              <w:jc w:val="center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CRÉDITOS</w:t>
            </w:r>
          </w:p>
        </w:tc>
        <w:tc>
          <w:tcPr>
            <w:tcW w:w="4489" w:type="dxa"/>
            <w:vMerge w:val="restart"/>
          </w:tcPr>
          <w:p w:rsidR="005D0626" w:rsidRPr="00001C49" w:rsidRDefault="005D0626" w:rsidP="005D0626">
            <w:pPr>
              <w:ind w:left="47"/>
              <w:jc w:val="center"/>
              <w:rPr>
                <w:rFonts w:ascii="Arial" w:hAnsi="Arial" w:cs="Arial"/>
              </w:rPr>
            </w:pPr>
            <w:r w:rsidRPr="00001C49">
              <w:rPr>
                <w:rFonts w:ascii="Arial" w:hAnsi="Arial" w:cs="Arial"/>
                <w:sz w:val="20"/>
              </w:rPr>
              <w:t>CARGA HORÁRIA TOTAL</w:t>
            </w:r>
            <w:r w:rsidRPr="00001C49">
              <w:rPr>
                <w:rFonts w:ascii="Arial" w:hAnsi="Arial" w:cs="Arial"/>
              </w:rPr>
              <w:t>:</w:t>
            </w:r>
          </w:p>
          <w:p w:rsidR="005D0626" w:rsidRPr="00001C49" w:rsidRDefault="005D0626" w:rsidP="005D0626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 horas</w:t>
            </w:r>
          </w:p>
          <w:p w:rsidR="005D0626" w:rsidRPr="000F0BBF" w:rsidRDefault="005D0626" w:rsidP="002D098F">
            <w:pPr>
              <w:spacing w:before="120"/>
              <w:ind w:right="4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0626" w:rsidRPr="00001C49" w:rsidTr="00767793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204" w:type="dxa"/>
          </w:tcPr>
          <w:p w:rsidR="005D0626" w:rsidRPr="005D0626" w:rsidRDefault="005D0626" w:rsidP="002D098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5D0626">
              <w:rPr>
                <w:rFonts w:ascii="Arial" w:hAnsi="Arial" w:cs="Arial"/>
                <w:b/>
                <w:sz w:val="20"/>
              </w:rPr>
              <w:t>TOTAL: 01</w:t>
            </w:r>
          </w:p>
        </w:tc>
        <w:tc>
          <w:tcPr>
            <w:tcW w:w="1560" w:type="dxa"/>
          </w:tcPr>
          <w:p w:rsidR="005D0626" w:rsidRPr="00001C49" w:rsidRDefault="005D0626" w:rsidP="002D098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PRÁTICOS:</w:t>
            </w:r>
          </w:p>
        </w:tc>
        <w:tc>
          <w:tcPr>
            <w:tcW w:w="1725" w:type="dxa"/>
          </w:tcPr>
          <w:p w:rsidR="005D0626" w:rsidRPr="00001C49" w:rsidRDefault="005D0626" w:rsidP="002D098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TEÓRICOS: </w:t>
            </w: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4489" w:type="dxa"/>
            <w:vMerge/>
          </w:tcPr>
          <w:p w:rsidR="005D0626" w:rsidRPr="00001C49" w:rsidRDefault="005D0626" w:rsidP="002D098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D098F" w:rsidRPr="00001C49" w:rsidTr="007677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9" w:type="dxa"/>
            <w:gridSpan w:val="3"/>
          </w:tcPr>
          <w:p w:rsidR="002D098F" w:rsidRPr="00001C49" w:rsidRDefault="002D098F" w:rsidP="002D098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PRÉ-REQUISITOS: </w:t>
            </w:r>
          </w:p>
        </w:tc>
        <w:tc>
          <w:tcPr>
            <w:tcW w:w="4489" w:type="dxa"/>
          </w:tcPr>
          <w:p w:rsidR="002D098F" w:rsidRPr="00001C49" w:rsidRDefault="002D098F" w:rsidP="002D098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CO-REQUISITOS: </w:t>
            </w:r>
          </w:p>
        </w:tc>
      </w:tr>
    </w:tbl>
    <w:p w:rsidR="00A434A7" w:rsidRDefault="00A434A7" w:rsidP="002D098F">
      <w:pPr>
        <w:jc w:val="both"/>
        <w:rPr>
          <w:rFonts w:ascii="Arial" w:hAnsi="Arial" w:cs="Arial"/>
          <w:b/>
          <w:sz w:val="20"/>
        </w:rPr>
      </w:pPr>
    </w:p>
    <w:p w:rsidR="002D098F" w:rsidRPr="002D098F" w:rsidRDefault="002D098F" w:rsidP="002D098F">
      <w:pPr>
        <w:jc w:val="both"/>
        <w:rPr>
          <w:rFonts w:ascii="Arial" w:hAnsi="Arial" w:cs="Arial"/>
          <w:b/>
          <w:sz w:val="20"/>
        </w:rPr>
      </w:pPr>
      <w:r w:rsidRPr="002D098F">
        <w:rPr>
          <w:rFonts w:ascii="Arial" w:hAnsi="Arial" w:cs="Arial"/>
          <w:b/>
          <w:sz w:val="20"/>
        </w:rPr>
        <w:t xml:space="preserve">EMENTA: </w:t>
      </w:r>
    </w:p>
    <w:p w:rsidR="002D098F" w:rsidRPr="002D098F" w:rsidRDefault="002D098F">
      <w:pPr>
        <w:rPr>
          <w:rFonts w:ascii="Arial" w:hAnsi="Arial"/>
          <w:sz w:val="20"/>
        </w:rPr>
      </w:pPr>
    </w:p>
    <w:p w:rsidR="002D098F" w:rsidRPr="002D098F" w:rsidRDefault="002D098F" w:rsidP="00A434A7">
      <w:pPr>
        <w:jc w:val="both"/>
        <w:rPr>
          <w:rFonts w:ascii="Arial" w:hAnsi="Arial"/>
          <w:sz w:val="20"/>
        </w:rPr>
      </w:pPr>
      <w:r w:rsidRPr="00A434A7">
        <w:rPr>
          <w:rFonts w:ascii="Arial" w:hAnsi="Arial"/>
          <w:sz w:val="22"/>
          <w:szCs w:val="22"/>
        </w:rPr>
        <w:t>Metodologias disponíveis para o estudo de células e tecidos e sua aplicação como suporte para a localização e identificação de microorganismos, para o estudo histopatológico de tecidos e como ferramenta para o diagnóstico e elucidação de mecanismos envolvidos em doenças infecciosas</w:t>
      </w:r>
      <w:r w:rsidRPr="002D098F">
        <w:rPr>
          <w:rFonts w:ascii="Arial" w:hAnsi="Arial"/>
          <w:sz w:val="20"/>
        </w:rPr>
        <w:t>.</w:t>
      </w:r>
    </w:p>
    <w:p w:rsidR="002D098F" w:rsidRPr="002D098F" w:rsidRDefault="002D098F">
      <w:pPr>
        <w:rPr>
          <w:rFonts w:ascii="Arial" w:hAnsi="Arial"/>
          <w:sz w:val="20"/>
        </w:rPr>
      </w:pPr>
    </w:p>
    <w:p w:rsidR="002D098F" w:rsidRPr="002D098F" w:rsidRDefault="002D098F">
      <w:pPr>
        <w:rPr>
          <w:rFonts w:ascii="Arial" w:hAnsi="Arial"/>
          <w:b/>
          <w:sz w:val="20"/>
        </w:rPr>
      </w:pPr>
      <w:r w:rsidRPr="002D098F">
        <w:rPr>
          <w:rFonts w:ascii="Arial" w:hAnsi="Arial"/>
          <w:b/>
          <w:sz w:val="20"/>
        </w:rPr>
        <w:t>PROGRAMA:</w:t>
      </w:r>
    </w:p>
    <w:p w:rsidR="002D098F" w:rsidRPr="00A434A7" w:rsidRDefault="002D098F">
      <w:pPr>
        <w:rPr>
          <w:rFonts w:ascii="Arial" w:hAnsi="Arial"/>
          <w:sz w:val="22"/>
          <w:szCs w:val="22"/>
        </w:rPr>
      </w:pPr>
    </w:p>
    <w:p w:rsidR="002D098F" w:rsidRPr="00A434A7" w:rsidRDefault="002D098F" w:rsidP="00A434A7">
      <w:pPr>
        <w:numPr>
          <w:ilvl w:val="0"/>
          <w:numId w:val="6"/>
        </w:numPr>
        <w:tabs>
          <w:tab w:val="left" w:pos="284"/>
        </w:tabs>
        <w:suppressAutoHyphens/>
        <w:snapToGrid w:val="0"/>
        <w:spacing w:before="20"/>
        <w:ind w:left="284" w:hanging="284"/>
        <w:jc w:val="both"/>
        <w:rPr>
          <w:rFonts w:ascii="Arial" w:hAnsi="Arial"/>
          <w:sz w:val="22"/>
          <w:szCs w:val="22"/>
        </w:rPr>
      </w:pPr>
      <w:r w:rsidRPr="00A434A7">
        <w:rPr>
          <w:rFonts w:ascii="Arial" w:hAnsi="Arial"/>
          <w:sz w:val="22"/>
          <w:szCs w:val="22"/>
        </w:rPr>
        <w:t>Preservação de tecidos animais</w:t>
      </w:r>
    </w:p>
    <w:p w:rsidR="002D098F" w:rsidRPr="00A434A7" w:rsidRDefault="002D098F" w:rsidP="00A434A7">
      <w:pPr>
        <w:numPr>
          <w:ilvl w:val="0"/>
          <w:numId w:val="6"/>
        </w:numPr>
        <w:tabs>
          <w:tab w:val="left" w:pos="284"/>
        </w:tabs>
        <w:suppressAutoHyphens/>
        <w:spacing w:before="20"/>
        <w:ind w:left="284" w:hanging="284"/>
        <w:jc w:val="both"/>
        <w:rPr>
          <w:rFonts w:ascii="Arial" w:hAnsi="Arial"/>
          <w:sz w:val="22"/>
          <w:szCs w:val="22"/>
        </w:rPr>
      </w:pPr>
      <w:r w:rsidRPr="00A434A7">
        <w:rPr>
          <w:rFonts w:ascii="Arial" w:hAnsi="Arial"/>
          <w:sz w:val="22"/>
          <w:szCs w:val="22"/>
        </w:rPr>
        <w:t>Meios de inclusão</w:t>
      </w:r>
    </w:p>
    <w:p w:rsidR="002D098F" w:rsidRPr="00A434A7" w:rsidRDefault="002D098F" w:rsidP="00A434A7">
      <w:pPr>
        <w:numPr>
          <w:ilvl w:val="0"/>
          <w:numId w:val="6"/>
        </w:numPr>
        <w:tabs>
          <w:tab w:val="left" w:pos="284"/>
        </w:tabs>
        <w:suppressAutoHyphens/>
        <w:spacing w:before="20"/>
        <w:ind w:left="284" w:hanging="284"/>
        <w:jc w:val="both"/>
        <w:rPr>
          <w:rFonts w:ascii="Arial" w:hAnsi="Arial"/>
          <w:sz w:val="22"/>
          <w:szCs w:val="22"/>
        </w:rPr>
      </w:pPr>
      <w:r w:rsidRPr="00A434A7">
        <w:rPr>
          <w:rFonts w:ascii="Arial" w:hAnsi="Arial"/>
          <w:sz w:val="22"/>
          <w:szCs w:val="22"/>
        </w:rPr>
        <w:t xml:space="preserve">Técnica citológica de </w:t>
      </w:r>
      <w:proofErr w:type="spellStart"/>
      <w:r w:rsidRPr="00A434A7">
        <w:rPr>
          <w:rFonts w:ascii="Arial" w:hAnsi="Arial"/>
          <w:sz w:val="22"/>
          <w:szCs w:val="22"/>
        </w:rPr>
        <w:t>Gomori-Grocott</w:t>
      </w:r>
      <w:proofErr w:type="spellEnd"/>
      <w:r w:rsidRPr="00A434A7">
        <w:rPr>
          <w:rFonts w:ascii="Arial" w:hAnsi="Arial"/>
          <w:sz w:val="22"/>
          <w:szCs w:val="22"/>
        </w:rPr>
        <w:t xml:space="preserve"> (Técnicas histológicas utilizando cortes histológicos)</w:t>
      </w:r>
    </w:p>
    <w:p w:rsidR="002D098F" w:rsidRPr="00A434A7" w:rsidRDefault="002D098F" w:rsidP="00A434A7">
      <w:pPr>
        <w:numPr>
          <w:ilvl w:val="0"/>
          <w:numId w:val="6"/>
        </w:numPr>
        <w:tabs>
          <w:tab w:val="left" w:pos="284"/>
        </w:tabs>
        <w:suppressAutoHyphens/>
        <w:spacing w:before="20"/>
        <w:ind w:left="284" w:hanging="284"/>
        <w:jc w:val="both"/>
        <w:rPr>
          <w:rFonts w:ascii="Arial" w:hAnsi="Arial"/>
          <w:sz w:val="22"/>
          <w:szCs w:val="22"/>
        </w:rPr>
      </w:pPr>
      <w:r w:rsidRPr="00A434A7">
        <w:rPr>
          <w:rFonts w:ascii="Arial" w:hAnsi="Arial"/>
          <w:sz w:val="22"/>
          <w:szCs w:val="22"/>
        </w:rPr>
        <w:t>Técnica de preparados totais para o estudo de neurônios entéricos</w:t>
      </w:r>
    </w:p>
    <w:p w:rsidR="002D098F" w:rsidRPr="00A434A7" w:rsidRDefault="002D098F" w:rsidP="00A434A7">
      <w:pPr>
        <w:numPr>
          <w:ilvl w:val="0"/>
          <w:numId w:val="6"/>
        </w:numPr>
        <w:tabs>
          <w:tab w:val="left" w:pos="284"/>
        </w:tabs>
        <w:ind w:left="284" w:hanging="284"/>
        <w:rPr>
          <w:rFonts w:ascii="Arial" w:hAnsi="Arial"/>
          <w:sz w:val="22"/>
          <w:szCs w:val="22"/>
        </w:rPr>
      </w:pPr>
      <w:proofErr w:type="spellStart"/>
      <w:r w:rsidRPr="00A434A7">
        <w:rPr>
          <w:rFonts w:ascii="Arial" w:hAnsi="Arial"/>
          <w:sz w:val="22"/>
          <w:szCs w:val="22"/>
        </w:rPr>
        <w:t>Imunohistoquímica</w:t>
      </w:r>
      <w:proofErr w:type="spellEnd"/>
      <w:r w:rsidRPr="00A434A7">
        <w:rPr>
          <w:rFonts w:ascii="Arial" w:hAnsi="Arial"/>
          <w:sz w:val="22"/>
          <w:szCs w:val="22"/>
        </w:rPr>
        <w:t xml:space="preserve"> na investigação de doenças infecto-</w:t>
      </w:r>
      <w:proofErr w:type="gramStart"/>
      <w:r w:rsidRPr="00A434A7">
        <w:rPr>
          <w:rFonts w:ascii="Arial" w:hAnsi="Arial"/>
          <w:sz w:val="22"/>
          <w:szCs w:val="22"/>
        </w:rPr>
        <w:t>contagiosas</w:t>
      </w:r>
      <w:proofErr w:type="gramEnd"/>
    </w:p>
    <w:p w:rsidR="002D098F" w:rsidRPr="002D098F" w:rsidRDefault="002D098F" w:rsidP="002D098F">
      <w:pPr>
        <w:rPr>
          <w:rFonts w:ascii="Arial" w:hAnsi="Arial"/>
          <w:sz w:val="20"/>
        </w:rPr>
      </w:pPr>
    </w:p>
    <w:p w:rsidR="002D098F" w:rsidRPr="002D098F" w:rsidRDefault="002D098F" w:rsidP="002D098F">
      <w:pPr>
        <w:rPr>
          <w:rFonts w:ascii="Arial" w:hAnsi="Arial"/>
          <w:b/>
          <w:sz w:val="20"/>
        </w:rPr>
      </w:pPr>
      <w:r w:rsidRPr="002D098F">
        <w:rPr>
          <w:rFonts w:ascii="Arial" w:hAnsi="Arial"/>
          <w:b/>
          <w:sz w:val="20"/>
        </w:rPr>
        <w:t>BIBLIOGRAFIA:</w:t>
      </w:r>
    </w:p>
    <w:p w:rsidR="002D098F" w:rsidRPr="00A434A7" w:rsidRDefault="002D098F" w:rsidP="00A434A7">
      <w:pPr>
        <w:numPr>
          <w:ilvl w:val="0"/>
          <w:numId w:val="7"/>
        </w:numPr>
        <w:suppressAutoHyphens/>
        <w:snapToGrid w:val="0"/>
        <w:spacing w:before="120"/>
        <w:ind w:left="284" w:right="-10" w:hanging="284"/>
        <w:jc w:val="both"/>
        <w:rPr>
          <w:rFonts w:ascii="Arial" w:hAnsi="Arial"/>
          <w:sz w:val="22"/>
          <w:szCs w:val="22"/>
          <w:lang w:val="en-US"/>
        </w:rPr>
      </w:pPr>
      <w:r w:rsidRPr="00A434A7">
        <w:rPr>
          <w:rFonts w:ascii="Arial" w:hAnsi="Arial"/>
          <w:sz w:val="22"/>
          <w:szCs w:val="22"/>
        </w:rPr>
        <w:t xml:space="preserve">Alves W A, </w:t>
      </w:r>
      <w:proofErr w:type="spellStart"/>
      <w:r w:rsidRPr="00A434A7">
        <w:rPr>
          <w:rFonts w:ascii="Arial" w:hAnsi="Arial"/>
          <w:sz w:val="22"/>
          <w:szCs w:val="22"/>
        </w:rPr>
        <w:t>Bevilacqua</w:t>
      </w:r>
      <w:proofErr w:type="spellEnd"/>
      <w:r w:rsidRPr="00A434A7">
        <w:rPr>
          <w:rFonts w:ascii="Arial" w:hAnsi="Arial"/>
          <w:sz w:val="22"/>
          <w:szCs w:val="22"/>
        </w:rPr>
        <w:t xml:space="preserve"> PD. </w:t>
      </w:r>
      <w:r w:rsidRPr="00A434A7">
        <w:rPr>
          <w:rFonts w:ascii="Arial" w:hAnsi="Arial"/>
          <w:sz w:val="22"/>
          <w:szCs w:val="22"/>
          <w:lang w:val="en-US"/>
        </w:rPr>
        <w:t xml:space="preserve">Quality of diagnosis of canine visceral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leishmaniosis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in epidemiological surveys: an epidemic in </w:t>
      </w:r>
      <w:smartTag w:uri="urn:schemas-microsoft-com:office:smarttags" w:element="City">
        <w:smartTag w:uri="urn:schemas-microsoft-com:office:smarttags" w:element="place">
          <w:r w:rsidRPr="00A434A7">
            <w:rPr>
              <w:rFonts w:ascii="Arial" w:hAnsi="Arial"/>
              <w:sz w:val="22"/>
              <w:szCs w:val="22"/>
              <w:lang w:val="en-US"/>
            </w:rPr>
            <w:t>Belo Horizonte</w:t>
          </w:r>
        </w:smartTag>
      </w:smartTag>
      <w:r w:rsidRPr="00A434A7">
        <w:rPr>
          <w:rFonts w:ascii="Arial" w:hAnsi="Arial"/>
          <w:sz w:val="22"/>
          <w:szCs w:val="22"/>
          <w:lang w:val="en-US"/>
        </w:rPr>
        <w:t xml:space="preserve">, Minas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Gerais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, Brazil, 1993-1997. Cad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Saude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Publica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20 (1) 259-265, 2004.</w:t>
      </w:r>
    </w:p>
    <w:p w:rsidR="002D098F" w:rsidRPr="00A434A7" w:rsidRDefault="002D098F" w:rsidP="00A434A7">
      <w:pPr>
        <w:numPr>
          <w:ilvl w:val="0"/>
          <w:numId w:val="7"/>
        </w:numPr>
        <w:suppressAutoHyphens/>
        <w:spacing w:before="120"/>
        <w:ind w:left="284" w:right="-10" w:hanging="284"/>
        <w:rPr>
          <w:rFonts w:ascii="Arial" w:hAnsi="Arial"/>
          <w:sz w:val="22"/>
          <w:szCs w:val="22"/>
          <w:lang w:val="en-US"/>
        </w:rPr>
      </w:pPr>
      <w:r w:rsidRPr="00A434A7">
        <w:rPr>
          <w:rFonts w:ascii="Arial" w:hAnsi="Arial"/>
          <w:sz w:val="22"/>
          <w:szCs w:val="22"/>
          <w:lang w:val="en-US"/>
        </w:rPr>
        <w:t xml:space="preserve">Chan PK, Ng KC, Chan RC, Lam RK, Chow VC,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Hui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M, Wu A, Lee N, Yap FH, Cheng FW, Sung JJ, Tam JS.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Immunofluorescence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assay for serologic diagnosis of SARS.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Emerg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Infect </w:t>
      </w:r>
      <w:proofErr w:type="gramStart"/>
      <w:r w:rsidRPr="00A434A7">
        <w:rPr>
          <w:rFonts w:ascii="Arial" w:hAnsi="Arial"/>
          <w:sz w:val="22"/>
          <w:szCs w:val="22"/>
          <w:lang w:val="en-US"/>
        </w:rPr>
        <w:t>Dis.10(</w:t>
      </w:r>
      <w:proofErr w:type="gramEnd"/>
      <w:r w:rsidRPr="00A434A7">
        <w:rPr>
          <w:rFonts w:ascii="Arial" w:hAnsi="Arial"/>
          <w:sz w:val="22"/>
          <w:szCs w:val="22"/>
          <w:lang w:val="en-US"/>
        </w:rPr>
        <w:t>3):530-2, 2004.</w:t>
      </w:r>
    </w:p>
    <w:p w:rsidR="002D098F" w:rsidRPr="00A434A7" w:rsidRDefault="002D098F" w:rsidP="00A434A7">
      <w:pPr>
        <w:numPr>
          <w:ilvl w:val="0"/>
          <w:numId w:val="7"/>
        </w:numPr>
        <w:suppressAutoHyphens/>
        <w:spacing w:before="120"/>
        <w:ind w:left="284" w:right="-10" w:hanging="284"/>
        <w:jc w:val="both"/>
        <w:rPr>
          <w:rFonts w:ascii="Arial" w:hAnsi="Arial"/>
          <w:sz w:val="22"/>
          <w:szCs w:val="22"/>
        </w:rPr>
      </w:pPr>
      <w:proofErr w:type="spellStart"/>
      <w:r w:rsidRPr="00A434A7">
        <w:rPr>
          <w:rFonts w:ascii="Arial" w:hAnsi="Arial"/>
          <w:sz w:val="22"/>
          <w:szCs w:val="22"/>
          <w:lang w:val="en-US"/>
        </w:rPr>
        <w:t>Enciso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C,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Montila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M,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Santacruz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MM, Nicholls RS, Rodriguez A,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MercadoM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,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Puerta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C.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Comparasion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of the indirect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immunofluorescent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(IFAT), ELISA test and the commercial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Chagatek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test for anti-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Trypanossoma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cruzi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antibodies detection. </w:t>
      </w:r>
      <w:proofErr w:type="spellStart"/>
      <w:r w:rsidRPr="00A434A7">
        <w:rPr>
          <w:rFonts w:ascii="Arial" w:hAnsi="Arial"/>
          <w:sz w:val="22"/>
          <w:szCs w:val="22"/>
        </w:rPr>
        <w:t>Biomedica</w:t>
      </w:r>
      <w:proofErr w:type="spellEnd"/>
      <w:r w:rsidRPr="00A434A7">
        <w:rPr>
          <w:rFonts w:ascii="Arial" w:hAnsi="Arial"/>
          <w:sz w:val="22"/>
          <w:szCs w:val="22"/>
        </w:rPr>
        <w:t>, 24(1): 104-108, 2004.</w:t>
      </w:r>
    </w:p>
    <w:p w:rsidR="002D098F" w:rsidRPr="00A434A7" w:rsidRDefault="002D098F" w:rsidP="00A434A7">
      <w:pPr>
        <w:numPr>
          <w:ilvl w:val="0"/>
          <w:numId w:val="7"/>
        </w:numPr>
        <w:suppressAutoHyphens/>
        <w:spacing w:before="120"/>
        <w:ind w:left="284" w:right="-10" w:hanging="284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A434A7">
        <w:rPr>
          <w:rFonts w:ascii="Arial" w:hAnsi="Arial"/>
          <w:sz w:val="22"/>
          <w:szCs w:val="22"/>
        </w:rPr>
        <w:t>Shi</w:t>
      </w:r>
      <w:proofErr w:type="spellEnd"/>
      <w:r w:rsidRPr="00A434A7">
        <w:rPr>
          <w:rFonts w:ascii="Arial" w:hAnsi="Arial"/>
          <w:sz w:val="22"/>
          <w:szCs w:val="22"/>
        </w:rPr>
        <w:t xml:space="preserve"> SR</w:t>
      </w:r>
      <w:proofErr w:type="gramStart"/>
      <w:r w:rsidRPr="00A434A7">
        <w:rPr>
          <w:rFonts w:ascii="Arial" w:hAnsi="Arial"/>
          <w:sz w:val="22"/>
          <w:szCs w:val="22"/>
        </w:rPr>
        <w:t>, Cote</w:t>
      </w:r>
      <w:proofErr w:type="gramEnd"/>
      <w:r w:rsidRPr="00A434A7">
        <w:rPr>
          <w:rFonts w:ascii="Arial" w:hAnsi="Arial"/>
          <w:sz w:val="22"/>
          <w:szCs w:val="22"/>
        </w:rPr>
        <w:t xml:space="preserve"> RJ, Taylor CR. </w:t>
      </w:r>
      <w:r w:rsidRPr="00A434A7">
        <w:rPr>
          <w:rFonts w:ascii="Arial" w:hAnsi="Arial"/>
          <w:sz w:val="22"/>
          <w:szCs w:val="22"/>
          <w:lang w:val="en-US"/>
        </w:rPr>
        <w:t xml:space="preserve">Antigen Retrieval Techniques: Current Perspectives. J.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Histochem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Cytochem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>., 49(8): 931-937, 2001.</w:t>
      </w:r>
    </w:p>
    <w:p w:rsidR="002D098F" w:rsidRPr="00A434A7" w:rsidRDefault="002D098F" w:rsidP="00A434A7">
      <w:pPr>
        <w:numPr>
          <w:ilvl w:val="0"/>
          <w:numId w:val="7"/>
        </w:numPr>
        <w:suppressAutoHyphens/>
        <w:spacing w:before="120"/>
        <w:ind w:left="284" w:right="-10" w:hanging="284"/>
        <w:jc w:val="both"/>
        <w:rPr>
          <w:rFonts w:ascii="Arial" w:hAnsi="Arial"/>
          <w:sz w:val="22"/>
          <w:szCs w:val="22"/>
          <w:lang w:val="en-US"/>
        </w:rPr>
      </w:pPr>
      <w:r w:rsidRPr="00A434A7">
        <w:rPr>
          <w:rFonts w:ascii="Arial" w:hAnsi="Arial"/>
          <w:sz w:val="22"/>
          <w:szCs w:val="22"/>
          <w:lang w:val="en-US"/>
        </w:rPr>
        <w:t xml:space="preserve">Silva SHM, Colombo AL,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Blotta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MHSL, Lopes JD,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Queiroz-Telles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F,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Camargo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ZP, Detection of Circulating gp43 Antigen in Serum, Cerebrospinal Fluid, and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Bronchoalveolar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Lavage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Fluid of Patients. Journal of Clinical Microbiology</w:t>
      </w:r>
      <w:proofErr w:type="gramStart"/>
      <w:r w:rsidRPr="00A434A7">
        <w:rPr>
          <w:rFonts w:ascii="Arial" w:hAnsi="Arial"/>
          <w:sz w:val="22"/>
          <w:szCs w:val="22"/>
          <w:lang w:val="en-US"/>
        </w:rPr>
        <w:t>,41</w:t>
      </w:r>
      <w:proofErr w:type="gramEnd"/>
      <w:r w:rsidRPr="00A434A7">
        <w:rPr>
          <w:rFonts w:ascii="Arial" w:hAnsi="Arial"/>
          <w:sz w:val="22"/>
          <w:szCs w:val="22"/>
          <w:lang w:val="en-US"/>
        </w:rPr>
        <w:t>(8): 3675-3680, 2003.</w:t>
      </w:r>
    </w:p>
    <w:p w:rsidR="002D098F" w:rsidRPr="00A434A7" w:rsidRDefault="002D098F" w:rsidP="00A434A7">
      <w:pPr>
        <w:numPr>
          <w:ilvl w:val="0"/>
          <w:numId w:val="7"/>
        </w:numPr>
        <w:suppressAutoHyphens/>
        <w:spacing w:before="120"/>
        <w:ind w:left="284" w:hanging="284"/>
        <w:jc w:val="both"/>
        <w:rPr>
          <w:rFonts w:ascii="Arial" w:hAnsi="Arial"/>
          <w:sz w:val="22"/>
          <w:szCs w:val="22"/>
        </w:rPr>
      </w:pPr>
      <w:proofErr w:type="spellStart"/>
      <w:r w:rsidRPr="00A434A7">
        <w:rPr>
          <w:rFonts w:ascii="Arial" w:hAnsi="Arial"/>
          <w:sz w:val="22"/>
          <w:szCs w:val="22"/>
        </w:rPr>
        <w:lastRenderedPageBreak/>
        <w:t>Tolosa</w:t>
      </w:r>
      <w:proofErr w:type="spellEnd"/>
      <w:r w:rsidRPr="00A434A7">
        <w:rPr>
          <w:rFonts w:ascii="Arial" w:hAnsi="Arial"/>
          <w:sz w:val="22"/>
          <w:szCs w:val="22"/>
        </w:rPr>
        <w:t xml:space="preserve"> EMC, Rodrigues CJ, </w:t>
      </w:r>
      <w:proofErr w:type="spellStart"/>
      <w:r w:rsidRPr="00A434A7">
        <w:rPr>
          <w:rFonts w:ascii="Arial" w:hAnsi="Arial"/>
          <w:sz w:val="22"/>
          <w:szCs w:val="22"/>
        </w:rPr>
        <w:t>Behmer</w:t>
      </w:r>
      <w:proofErr w:type="spellEnd"/>
      <w:r w:rsidRPr="00A434A7">
        <w:rPr>
          <w:rFonts w:ascii="Arial" w:hAnsi="Arial"/>
          <w:sz w:val="22"/>
          <w:szCs w:val="22"/>
        </w:rPr>
        <w:t xml:space="preserve"> </w:t>
      </w:r>
      <w:proofErr w:type="gramStart"/>
      <w:r w:rsidRPr="00A434A7">
        <w:rPr>
          <w:rFonts w:ascii="Arial" w:hAnsi="Arial"/>
          <w:sz w:val="22"/>
          <w:szCs w:val="22"/>
        </w:rPr>
        <w:t>AO,</w:t>
      </w:r>
      <w:proofErr w:type="gramEnd"/>
      <w:r w:rsidRPr="00A434A7">
        <w:rPr>
          <w:rFonts w:ascii="Arial" w:hAnsi="Arial"/>
          <w:sz w:val="22"/>
          <w:szCs w:val="22"/>
        </w:rPr>
        <w:t xml:space="preserve"> Neto AGF Manual de técnicas para Histologia Normal e Patológica, 2ª edição, Ed </w:t>
      </w:r>
      <w:proofErr w:type="spellStart"/>
      <w:r w:rsidRPr="00A434A7">
        <w:rPr>
          <w:rFonts w:ascii="Arial" w:hAnsi="Arial"/>
          <w:sz w:val="22"/>
          <w:szCs w:val="22"/>
        </w:rPr>
        <w:t>Manole</w:t>
      </w:r>
      <w:proofErr w:type="spellEnd"/>
      <w:r w:rsidRPr="00A434A7">
        <w:rPr>
          <w:rFonts w:ascii="Arial" w:hAnsi="Arial"/>
          <w:sz w:val="22"/>
          <w:szCs w:val="22"/>
        </w:rPr>
        <w:t>, 2003</w:t>
      </w:r>
    </w:p>
    <w:p w:rsidR="002D098F" w:rsidRPr="00A434A7" w:rsidRDefault="002D098F" w:rsidP="00A434A7">
      <w:pPr>
        <w:numPr>
          <w:ilvl w:val="0"/>
          <w:numId w:val="7"/>
        </w:numPr>
        <w:suppressAutoHyphens/>
        <w:spacing w:before="120"/>
        <w:ind w:left="284" w:hanging="284"/>
        <w:jc w:val="both"/>
        <w:rPr>
          <w:rFonts w:ascii="Arial" w:hAnsi="Arial"/>
          <w:sz w:val="22"/>
          <w:szCs w:val="22"/>
        </w:rPr>
      </w:pPr>
      <w:r w:rsidRPr="00A434A7">
        <w:rPr>
          <w:rFonts w:ascii="Arial" w:hAnsi="Arial"/>
          <w:sz w:val="22"/>
          <w:szCs w:val="22"/>
          <w:lang w:val="en-US"/>
        </w:rPr>
        <w:t xml:space="preserve">Souza PR,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Vettorato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G, Pinto GM,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Duquia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RP,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Amaro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TG, Almeida Junior HL,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Breunig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D de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A.Concordance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between direct microscopy and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fungical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culture for the diagnostic of feet's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onychomycosis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. </w:t>
      </w:r>
      <w:proofErr w:type="spellStart"/>
      <w:r w:rsidRPr="00A434A7">
        <w:rPr>
          <w:rFonts w:ascii="Arial" w:hAnsi="Arial"/>
          <w:sz w:val="22"/>
          <w:szCs w:val="22"/>
        </w:rPr>
        <w:t>An</w:t>
      </w:r>
      <w:proofErr w:type="spellEnd"/>
      <w:r w:rsidRPr="00A434A7">
        <w:rPr>
          <w:rFonts w:ascii="Arial" w:hAnsi="Arial"/>
          <w:sz w:val="22"/>
          <w:szCs w:val="22"/>
        </w:rPr>
        <w:t xml:space="preserve"> </w:t>
      </w:r>
      <w:proofErr w:type="spellStart"/>
      <w:r w:rsidRPr="00A434A7">
        <w:rPr>
          <w:rFonts w:ascii="Arial" w:hAnsi="Arial"/>
          <w:sz w:val="22"/>
          <w:szCs w:val="22"/>
        </w:rPr>
        <w:t>Bras</w:t>
      </w:r>
      <w:proofErr w:type="spellEnd"/>
      <w:r w:rsidRPr="00A434A7">
        <w:rPr>
          <w:rFonts w:ascii="Arial" w:hAnsi="Arial"/>
          <w:sz w:val="22"/>
          <w:szCs w:val="22"/>
        </w:rPr>
        <w:t xml:space="preserve"> </w:t>
      </w:r>
      <w:proofErr w:type="spellStart"/>
      <w:r w:rsidRPr="00A434A7">
        <w:rPr>
          <w:rFonts w:ascii="Arial" w:hAnsi="Arial"/>
          <w:sz w:val="22"/>
          <w:szCs w:val="22"/>
        </w:rPr>
        <w:t>Dermataol</w:t>
      </w:r>
      <w:proofErr w:type="spellEnd"/>
      <w:r w:rsidRPr="00A434A7">
        <w:rPr>
          <w:rFonts w:ascii="Arial" w:hAnsi="Arial"/>
          <w:sz w:val="22"/>
          <w:szCs w:val="22"/>
        </w:rPr>
        <w:t xml:space="preserve">, 87 (1): </w:t>
      </w:r>
      <w:proofErr w:type="gramStart"/>
      <w:r w:rsidRPr="00A434A7">
        <w:rPr>
          <w:rFonts w:ascii="Arial" w:hAnsi="Arial"/>
          <w:sz w:val="22"/>
          <w:szCs w:val="22"/>
        </w:rPr>
        <w:t>157-9, 2012</w:t>
      </w:r>
      <w:proofErr w:type="gramEnd"/>
      <w:r w:rsidRPr="00A434A7">
        <w:rPr>
          <w:rFonts w:ascii="Arial" w:hAnsi="Arial"/>
          <w:sz w:val="22"/>
          <w:szCs w:val="22"/>
        </w:rPr>
        <w:t>.</w:t>
      </w:r>
    </w:p>
    <w:p w:rsidR="002D098F" w:rsidRPr="00A434A7" w:rsidRDefault="002D098F" w:rsidP="00A434A7">
      <w:pPr>
        <w:numPr>
          <w:ilvl w:val="0"/>
          <w:numId w:val="7"/>
        </w:numPr>
        <w:suppressAutoHyphens/>
        <w:spacing w:before="120"/>
        <w:ind w:left="284" w:hanging="284"/>
        <w:jc w:val="both"/>
        <w:rPr>
          <w:rFonts w:ascii="Arial" w:hAnsi="Arial"/>
          <w:sz w:val="22"/>
          <w:szCs w:val="22"/>
          <w:lang w:val="en-US"/>
        </w:rPr>
      </w:pPr>
      <w:r w:rsidRPr="00A434A7">
        <w:rPr>
          <w:rFonts w:ascii="Arial" w:hAnsi="Arial"/>
          <w:sz w:val="22"/>
          <w:szCs w:val="22"/>
          <w:lang w:val="en-US"/>
        </w:rPr>
        <w:t xml:space="preserve">Mayer E,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Izhak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</w:t>
      </w:r>
      <w:smartTag w:uri="urn:schemas-microsoft-com:office:smarttags" w:element="place">
        <w:r w:rsidRPr="00A434A7">
          <w:rPr>
            <w:rFonts w:ascii="Arial" w:hAnsi="Arial"/>
            <w:sz w:val="22"/>
            <w:szCs w:val="22"/>
            <w:lang w:val="en-US"/>
          </w:rPr>
          <w:t>OB</w:t>
        </w:r>
      </w:smartTag>
      <w:r w:rsidRPr="00A434A7">
        <w:rPr>
          <w:rFonts w:ascii="Arial" w:hAnsi="Arial"/>
          <w:sz w:val="22"/>
          <w:szCs w:val="22"/>
          <w:lang w:val="en-US"/>
        </w:rPr>
        <w:t xml:space="preserve">, Bergman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R.Histopathological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Periodic Acid-Schiff Stains of Nail Clippings as a Second-Line Diagnostic Tool in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Onychomycosis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. Am J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Dermatopathol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. 2012 Jan 24. </w:t>
      </w:r>
    </w:p>
    <w:p w:rsidR="002D098F" w:rsidRPr="00A434A7" w:rsidRDefault="002D098F" w:rsidP="00A434A7">
      <w:pPr>
        <w:numPr>
          <w:ilvl w:val="0"/>
          <w:numId w:val="7"/>
        </w:numPr>
        <w:suppressAutoHyphens/>
        <w:spacing w:before="120"/>
        <w:ind w:left="284" w:hanging="284"/>
        <w:jc w:val="both"/>
        <w:rPr>
          <w:rFonts w:ascii="Arial" w:hAnsi="Arial"/>
          <w:sz w:val="22"/>
          <w:szCs w:val="22"/>
          <w:lang w:val="en-US"/>
        </w:rPr>
      </w:pPr>
      <w:proofErr w:type="spellStart"/>
      <w:r w:rsidRPr="00A434A7">
        <w:rPr>
          <w:rFonts w:ascii="Arial" w:hAnsi="Arial"/>
          <w:sz w:val="22"/>
          <w:szCs w:val="22"/>
          <w:lang w:val="en-US"/>
        </w:rPr>
        <w:t>Syed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SI,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Sadiq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S.Immunohistochemical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detection of hepatitis C virus (HCV) in liver biopsies of hepatitis C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patients.J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Pak Med Assoc. 2011;61(12):1198-201</w:t>
      </w:r>
    </w:p>
    <w:p w:rsidR="002D098F" w:rsidRPr="00A434A7" w:rsidRDefault="002D098F" w:rsidP="00A434A7">
      <w:pPr>
        <w:numPr>
          <w:ilvl w:val="0"/>
          <w:numId w:val="7"/>
        </w:numPr>
        <w:suppressAutoHyphens/>
        <w:snapToGrid w:val="0"/>
        <w:spacing w:before="60" w:after="60"/>
        <w:ind w:left="284" w:hanging="284"/>
        <w:jc w:val="both"/>
        <w:rPr>
          <w:rFonts w:ascii="Arial" w:hAnsi="Arial"/>
          <w:b/>
          <w:sz w:val="22"/>
          <w:szCs w:val="22"/>
          <w:lang w:val="en-US"/>
        </w:rPr>
      </w:pPr>
      <w:proofErr w:type="spellStart"/>
      <w:r w:rsidRPr="00A434A7">
        <w:rPr>
          <w:rFonts w:ascii="Arial" w:hAnsi="Arial"/>
          <w:sz w:val="22"/>
          <w:szCs w:val="22"/>
          <w:lang w:val="en-US"/>
        </w:rPr>
        <w:t>Berbicz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F,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Nogueira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AC, Medina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Neto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A,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Natali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MR,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Baesso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ML,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Matioli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G. Use of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photoacoustic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spectroscopy in the characterization of inclusion complexes of benzophenone-3-hydroxypropyl-β-cyclodextrin and ex vivo evaluation of the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percutaneous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penetration of sunscreen.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Eur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J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Pharm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 w:rsidRPr="00A434A7">
        <w:rPr>
          <w:rFonts w:ascii="Arial" w:hAnsi="Arial"/>
          <w:sz w:val="22"/>
          <w:szCs w:val="22"/>
          <w:lang w:val="en-US"/>
        </w:rPr>
        <w:t>Biopharm</w:t>
      </w:r>
      <w:proofErr w:type="spellEnd"/>
      <w:r w:rsidRPr="00A434A7">
        <w:rPr>
          <w:rFonts w:ascii="Arial" w:hAnsi="Arial"/>
          <w:sz w:val="22"/>
          <w:szCs w:val="22"/>
          <w:lang w:val="en-US"/>
        </w:rPr>
        <w:t>. 2011;79(2):449-57</w:t>
      </w:r>
      <w:r w:rsidRPr="00A434A7">
        <w:rPr>
          <w:rFonts w:ascii="Arial" w:hAnsi="Arial"/>
          <w:sz w:val="22"/>
          <w:szCs w:val="22"/>
          <w:lang w:val="en-US"/>
        </w:rPr>
        <w:br/>
      </w:r>
    </w:p>
    <w:p w:rsidR="002D098F" w:rsidRPr="00A434A7" w:rsidRDefault="002D098F" w:rsidP="002D098F">
      <w:pPr>
        <w:suppressAutoHyphens/>
        <w:snapToGrid w:val="0"/>
        <w:spacing w:before="60" w:after="60"/>
        <w:rPr>
          <w:rFonts w:ascii="Arial" w:hAnsi="Arial"/>
          <w:b/>
          <w:sz w:val="22"/>
          <w:szCs w:val="22"/>
          <w:lang w:val="en-US"/>
        </w:rPr>
      </w:pPr>
    </w:p>
    <w:p w:rsidR="002D098F" w:rsidRPr="00A434A7" w:rsidRDefault="002D098F" w:rsidP="00A434A7">
      <w:pPr>
        <w:suppressAutoHyphens/>
        <w:snapToGrid w:val="0"/>
        <w:spacing w:before="60" w:after="60"/>
        <w:rPr>
          <w:rFonts w:ascii="Arial" w:hAnsi="Arial"/>
          <w:b/>
          <w:sz w:val="22"/>
          <w:szCs w:val="22"/>
        </w:rPr>
      </w:pPr>
      <w:r w:rsidRPr="00A434A7">
        <w:rPr>
          <w:rFonts w:ascii="Arial" w:hAnsi="Arial"/>
          <w:b/>
          <w:sz w:val="22"/>
          <w:szCs w:val="22"/>
        </w:rPr>
        <w:t>REVISTAS ESPECIALIZADAS SOBRE O ASSUNTO:</w:t>
      </w:r>
    </w:p>
    <w:p w:rsidR="002D098F" w:rsidRPr="00A434A7" w:rsidRDefault="002D098F" w:rsidP="002D098F">
      <w:pPr>
        <w:suppressAutoHyphens/>
        <w:rPr>
          <w:rFonts w:ascii="Arial" w:hAnsi="Arial"/>
          <w:sz w:val="22"/>
          <w:szCs w:val="22"/>
        </w:rPr>
      </w:pPr>
    </w:p>
    <w:p w:rsidR="002D098F" w:rsidRPr="00A434A7" w:rsidRDefault="002D098F" w:rsidP="00A434A7">
      <w:pPr>
        <w:numPr>
          <w:ilvl w:val="0"/>
          <w:numId w:val="8"/>
        </w:numPr>
        <w:suppressAutoHyphens/>
        <w:ind w:left="284" w:hanging="284"/>
        <w:rPr>
          <w:rFonts w:ascii="Arial" w:hAnsi="Arial"/>
          <w:sz w:val="20"/>
          <w:lang w:val="en-US"/>
        </w:rPr>
      </w:pPr>
      <w:r w:rsidRPr="00A434A7">
        <w:rPr>
          <w:rFonts w:ascii="Arial" w:hAnsi="Arial"/>
          <w:sz w:val="20"/>
          <w:lang w:val="en-US"/>
        </w:rPr>
        <w:t xml:space="preserve">Journal of </w:t>
      </w:r>
      <w:proofErr w:type="spellStart"/>
      <w:r w:rsidRPr="00A434A7">
        <w:rPr>
          <w:rFonts w:ascii="Arial" w:hAnsi="Arial"/>
          <w:sz w:val="20"/>
          <w:lang w:val="en-US"/>
        </w:rPr>
        <w:t>Histochemistry</w:t>
      </w:r>
      <w:proofErr w:type="spellEnd"/>
      <w:r w:rsidRPr="00A434A7">
        <w:rPr>
          <w:rFonts w:ascii="Arial" w:hAnsi="Arial"/>
          <w:sz w:val="20"/>
          <w:lang w:val="en-US"/>
        </w:rPr>
        <w:t xml:space="preserve"> and </w:t>
      </w:r>
      <w:proofErr w:type="spellStart"/>
      <w:r w:rsidRPr="00A434A7">
        <w:rPr>
          <w:rFonts w:ascii="Arial" w:hAnsi="Arial"/>
          <w:sz w:val="20"/>
          <w:lang w:val="en-US"/>
        </w:rPr>
        <w:t>Cytochemistry</w:t>
      </w:r>
      <w:proofErr w:type="spellEnd"/>
    </w:p>
    <w:p w:rsidR="002D098F" w:rsidRPr="00A434A7" w:rsidRDefault="002D098F" w:rsidP="00A434A7">
      <w:pPr>
        <w:numPr>
          <w:ilvl w:val="0"/>
          <w:numId w:val="8"/>
        </w:numPr>
        <w:suppressAutoHyphens/>
        <w:ind w:left="284" w:hanging="284"/>
        <w:rPr>
          <w:rFonts w:ascii="Arial" w:hAnsi="Arial"/>
          <w:sz w:val="20"/>
          <w:lang w:val="en-US"/>
        </w:rPr>
      </w:pPr>
      <w:proofErr w:type="spellStart"/>
      <w:r w:rsidRPr="00A434A7">
        <w:rPr>
          <w:rFonts w:ascii="Arial" w:hAnsi="Arial"/>
          <w:sz w:val="20"/>
          <w:lang w:val="en-US"/>
        </w:rPr>
        <w:t>Mukhopadhyay</w:t>
      </w:r>
      <w:proofErr w:type="spellEnd"/>
      <w:r w:rsidRPr="00A434A7">
        <w:rPr>
          <w:rFonts w:ascii="Arial" w:hAnsi="Arial"/>
          <w:sz w:val="20"/>
          <w:lang w:val="en-US"/>
        </w:rPr>
        <w:t xml:space="preserve"> S., Role of histology in the diagnosis of infectious causes of </w:t>
      </w:r>
      <w:proofErr w:type="spellStart"/>
      <w:r w:rsidRPr="00A434A7">
        <w:rPr>
          <w:rFonts w:ascii="Arial" w:hAnsi="Arial"/>
          <w:sz w:val="20"/>
          <w:lang w:val="en-US"/>
        </w:rPr>
        <w:t>granulomatous</w:t>
      </w:r>
      <w:proofErr w:type="spellEnd"/>
      <w:r w:rsidRPr="00A434A7">
        <w:rPr>
          <w:rFonts w:ascii="Arial" w:hAnsi="Arial"/>
          <w:sz w:val="20"/>
          <w:lang w:val="en-US"/>
        </w:rPr>
        <w:t xml:space="preserve"> lung disease.</w:t>
      </w:r>
      <w:r w:rsidRPr="00A434A7">
        <w:rPr>
          <w:rFonts w:ascii="Arial" w:hAnsi="Arial"/>
          <w:sz w:val="20"/>
          <w:lang w:val="en-US"/>
        </w:rPr>
        <w:br/>
      </w:r>
      <w:proofErr w:type="spellStart"/>
      <w:r w:rsidRPr="00A434A7">
        <w:rPr>
          <w:rFonts w:ascii="Arial" w:hAnsi="Arial"/>
          <w:sz w:val="20"/>
          <w:lang w:val="en-US"/>
        </w:rPr>
        <w:t>Curr</w:t>
      </w:r>
      <w:proofErr w:type="spellEnd"/>
      <w:r w:rsidRPr="00A434A7">
        <w:rPr>
          <w:rFonts w:ascii="Arial" w:hAnsi="Arial"/>
          <w:sz w:val="20"/>
          <w:lang w:val="en-US"/>
        </w:rPr>
        <w:t xml:space="preserve"> </w:t>
      </w:r>
      <w:proofErr w:type="spellStart"/>
      <w:r w:rsidRPr="00A434A7">
        <w:rPr>
          <w:rFonts w:ascii="Arial" w:hAnsi="Arial"/>
          <w:sz w:val="20"/>
          <w:lang w:val="en-US"/>
        </w:rPr>
        <w:t>Opin</w:t>
      </w:r>
      <w:proofErr w:type="spellEnd"/>
      <w:r w:rsidRPr="00A434A7">
        <w:rPr>
          <w:rFonts w:ascii="Arial" w:hAnsi="Arial"/>
          <w:sz w:val="20"/>
          <w:lang w:val="en-US"/>
        </w:rPr>
        <w:t xml:space="preserve"> </w:t>
      </w:r>
      <w:proofErr w:type="spellStart"/>
      <w:r w:rsidRPr="00A434A7">
        <w:rPr>
          <w:rFonts w:ascii="Arial" w:hAnsi="Arial"/>
          <w:sz w:val="20"/>
          <w:lang w:val="en-US"/>
        </w:rPr>
        <w:t>Pulm</w:t>
      </w:r>
      <w:proofErr w:type="spellEnd"/>
      <w:r w:rsidRPr="00A434A7">
        <w:rPr>
          <w:rFonts w:ascii="Arial" w:hAnsi="Arial"/>
          <w:sz w:val="20"/>
          <w:lang w:val="en-US"/>
        </w:rPr>
        <w:t xml:space="preserve"> Med. 2011 May;17(3):189-96</w:t>
      </w:r>
    </w:p>
    <w:p w:rsidR="002D098F" w:rsidRPr="00A434A7" w:rsidRDefault="002D098F" w:rsidP="00A434A7">
      <w:pPr>
        <w:numPr>
          <w:ilvl w:val="0"/>
          <w:numId w:val="8"/>
        </w:numPr>
        <w:suppressAutoHyphens/>
        <w:ind w:left="284" w:hanging="284"/>
        <w:rPr>
          <w:rFonts w:ascii="Arial" w:hAnsi="Arial"/>
          <w:sz w:val="20"/>
          <w:lang w:val="en-US"/>
        </w:rPr>
      </w:pPr>
      <w:r w:rsidRPr="00A434A7">
        <w:rPr>
          <w:rFonts w:ascii="Arial" w:hAnsi="Arial"/>
          <w:sz w:val="20"/>
          <w:lang w:val="en-US"/>
        </w:rPr>
        <w:t xml:space="preserve">Calhoun K, Lin A, Bryant-Greenwood P, </w:t>
      </w:r>
      <w:proofErr w:type="spellStart"/>
      <w:r w:rsidRPr="00A434A7">
        <w:rPr>
          <w:rFonts w:ascii="Arial" w:hAnsi="Arial"/>
          <w:sz w:val="20"/>
          <w:lang w:val="en-US"/>
        </w:rPr>
        <w:t>Lum</w:t>
      </w:r>
      <w:proofErr w:type="spellEnd"/>
      <w:r w:rsidRPr="00A434A7">
        <w:rPr>
          <w:rFonts w:ascii="Arial" w:hAnsi="Arial"/>
          <w:sz w:val="20"/>
          <w:lang w:val="en-US"/>
        </w:rPr>
        <w:t xml:space="preserve"> C, Johnson D, </w:t>
      </w:r>
      <w:proofErr w:type="spellStart"/>
      <w:r w:rsidRPr="00A434A7">
        <w:rPr>
          <w:rFonts w:ascii="Arial" w:hAnsi="Arial"/>
          <w:sz w:val="20"/>
          <w:lang w:val="en-US"/>
        </w:rPr>
        <w:t>Namiki</w:t>
      </w:r>
      <w:proofErr w:type="spellEnd"/>
      <w:r w:rsidRPr="00A434A7">
        <w:rPr>
          <w:rFonts w:ascii="Arial" w:hAnsi="Arial"/>
          <w:sz w:val="20"/>
          <w:lang w:val="en-US"/>
        </w:rPr>
        <w:t xml:space="preserve"> </w:t>
      </w:r>
      <w:proofErr w:type="spellStart"/>
      <w:r w:rsidRPr="00A434A7">
        <w:rPr>
          <w:rFonts w:ascii="Arial" w:hAnsi="Arial"/>
          <w:sz w:val="20"/>
          <w:lang w:val="en-US"/>
        </w:rPr>
        <w:t>T.,Field</w:t>
      </w:r>
      <w:proofErr w:type="spellEnd"/>
      <w:r w:rsidRPr="00A434A7">
        <w:rPr>
          <w:rFonts w:ascii="Arial" w:hAnsi="Arial"/>
          <w:sz w:val="20"/>
          <w:lang w:val="en-US"/>
        </w:rPr>
        <w:t xml:space="preserve"> histology: Point-of-care microscopic </w:t>
      </w:r>
      <w:proofErr w:type="spellStart"/>
      <w:r w:rsidRPr="00A434A7">
        <w:rPr>
          <w:rFonts w:ascii="Arial" w:hAnsi="Arial"/>
          <w:sz w:val="20"/>
          <w:lang w:val="en-US"/>
        </w:rPr>
        <w:t>technique.Arch</w:t>
      </w:r>
      <w:proofErr w:type="spellEnd"/>
      <w:r w:rsidRPr="00A434A7">
        <w:rPr>
          <w:rFonts w:ascii="Arial" w:hAnsi="Arial"/>
          <w:sz w:val="20"/>
          <w:lang w:val="en-US"/>
        </w:rPr>
        <w:t xml:space="preserve"> </w:t>
      </w:r>
      <w:proofErr w:type="spellStart"/>
      <w:r w:rsidRPr="00A434A7">
        <w:rPr>
          <w:rFonts w:ascii="Arial" w:hAnsi="Arial"/>
          <w:sz w:val="20"/>
          <w:lang w:val="en-US"/>
        </w:rPr>
        <w:t>Pathol</w:t>
      </w:r>
      <w:proofErr w:type="spellEnd"/>
      <w:r w:rsidRPr="00A434A7">
        <w:rPr>
          <w:rFonts w:ascii="Arial" w:hAnsi="Arial"/>
          <w:sz w:val="20"/>
          <w:lang w:val="en-US"/>
        </w:rPr>
        <w:t xml:space="preserve"> Lab Med. 2011 Feb;135(2):207-10</w:t>
      </w:r>
    </w:p>
    <w:p w:rsidR="002D098F" w:rsidRPr="00A434A7" w:rsidRDefault="002D098F" w:rsidP="00A434A7">
      <w:pPr>
        <w:numPr>
          <w:ilvl w:val="0"/>
          <w:numId w:val="8"/>
        </w:numPr>
        <w:ind w:left="284" w:hanging="284"/>
        <w:rPr>
          <w:rFonts w:ascii="Arial" w:hAnsi="Arial"/>
          <w:sz w:val="20"/>
          <w:lang w:val="en-US"/>
        </w:rPr>
      </w:pPr>
      <w:r w:rsidRPr="00A434A7">
        <w:rPr>
          <w:rFonts w:ascii="Arial" w:hAnsi="Arial"/>
          <w:sz w:val="20"/>
          <w:lang w:val="en-US"/>
        </w:rPr>
        <w:t xml:space="preserve">Weiner RD, </w:t>
      </w:r>
      <w:proofErr w:type="spellStart"/>
      <w:r w:rsidRPr="00A434A7">
        <w:rPr>
          <w:rFonts w:ascii="Arial" w:hAnsi="Arial"/>
          <w:sz w:val="20"/>
          <w:lang w:val="en-US"/>
        </w:rPr>
        <w:t>Viselli</w:t>
      </w:r>
      <w:proofErr w:type="spellEnd"/>
      <w:r w:rsidRPr="00A434A7">
        <w:rPr>
          <w:rFonts w:ascii="Arial" w:hAnsi="Arial"/>
          <w:sz w:val="20"/>
          <w:lang w:val="en-US"/>
        </w:rPr>
        <w:t xml:space="preserve"> SJ, </w:t>
      </w:r>
      <w:proofErr w:type="spellStart"/>
      <w:r w:rsidRPr="00A434A7">
        <w:rPr>
          <w:rFonts w:ascii="Arial" w:hAnsi="Arial"/>
          <w:sz w:val="20"/>
          <w:lang w:val="en-US"/>
        </w:rPr>
        <w:t>Fulkert</w:t>
      </w:r>
      <w:proofErr w:type="spellEnd"/>
      <w:r w:rsidRPr="00A434A7">
        <w:rPr>
          <w:rFonts w:ascii="Arial" w:hAnsi="Arial"/>
          <w:sz w:val="20"/>
          <w:lang w:val="en-US"/>
        </w:rPr>
        <w:t xml:space="preserve"> KA, </w:t>
      </w:r>
      <w:proofErr w:type="spellStart"/>
      <w:r w:rsidRPr="00A434A7">
        <w:rPr>
          <w:rFonts w:ascii="Arial" w:hAnsi="Arial"/>
          <w:sz w:val="20"/>
          <w:lang w:val="en-US"/>
        </w:rPr>
        <w:t>Accetta</w:t>
      </w:r>
      <w:proofErr w:type="spellEnd"/>
      <w:r w:rsidRPr="00A434A7">
        <w:rPr>
          <w:rFonts w:ascii="Arial" w:hAnsi="Arial"/>
          <w:sz w:val="20"/>
          <w:lang w:val="en-US"/>
        </w:rPr>
        <w:t xml:space="preserve"> P., Histology versus microbiology for accuracy in identification of </w:t>
      </w:r>
      <w:proofErr w:type="spellStart"/>
      <w:r w:rsidRPr="00A434A7">
        <w:rPr>
          <w:rFonts w:ascii="Arial" w:hAnsi="Arial"/>
          <w:sz w:val="20"/>
          <w:lang w:val="en-US"/>
        </w:rPr>
        <w:t>osteomyelitis</w:t>
      </w:r>
      <w:proofErr w:type="spellEnd"/>
      <w:r w:rsidRPr="00A434A7">
        <w:rPr>
          <w:rFonts w:ascii="Arial" w:hAnsi="Arial"/>
          <w:sz w:val="20"/>
          <w:lang w:val="en-US"/>
        </w:rPr>
        <w:t xml:space="preserve"> in the diabetic foot.  The Journal of Foot and Ankle Surgery 2011 Mar-Apr;50(2):197-200</w:t>
      </w:r>
    </w:p>
    <w:p w:rsidR="002D098F" w:rsidRDefault="002D098F" w:rsidP="002D098F">
      <w:pPr>
        <w:rPr>
          <w:rFonts w:ascii="Arial" w:hAnsi="Arial"/>
          <w:sz w:val="20"/>
          <w:szCs w:val="22"/>
          <w:lang w:val="en-US"/>
        </w:rPr>
      </w:pPr>
    </w:p>
    <w:p w:rsidR="00767793" w:rsidRDefault="00767793" w:rsidP="002D098F">
      <w:pPr>
        <w:rPr>
          <w:rFonts w:ascii="Arial" w:hAnsi="Arial"/>
          <w:sz w:val="20"/>
          <w:szCs w:val="22"/>
          <w:lang w:val="en-US"/>
        </w:rPr>
      </w:pPr>
    </w:p>
    <w:tbl>
      <w:tblPr>
        <w:tblW w:w="8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767793" w:rsidTr="00B95934">
        <w:tc>
          <w:tcPr>
            <w:tcW w:w="8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767793" w:rsidRDefault="00767793" w:rsidP="00B95934">
            <w:pPr>
              <w:pStyle w:val="Ttulo1"/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</w:tbl>
    <w:p w:rsidR="00767793" w:rsidRDefault="00767793" w:rsidP="002D098F">
      <w:pPr>
        <w:rPr>
          <w:rFonts w:ascii="Arial" w:hAnsi="Arial"/>
          <w:sz w:val="20"/>
          <w:szCs w:val="22"/>
          <w:lang w:val="en-U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5D0626" w:rsidRPr="00C41F04" w:rsidTr="005D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</w:tcPr>
          <w:p w:rsidR="005D0626" w:rsidRPr="00C41F04" w:rsidRDefault="005D0626" w:rsidP="005D062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C41F04">
              <w:rPr>
                <w:rFonts w:ascii="Arial" w:hAnsi="Arial" w:cs="Arial"/>
              </w:rPr>
              <w:t>1ª</w:t>
            </w:r>
          </w:p>
        </w:tc>
      </w:tr>
      <w:tr w:rsidR="005D0626" w:rsidRPr="00C41F04" w:rsidTr="005D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</w:tcPr>
          <w:p w:rsidR="005D0626" w:rsidRPr="00C41F04" w:rsidRDefault="005D0626" w:rsidP="005D0626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C41F04"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5D0626" w:rsidRPr="00C41F04" w:rsidTr="005D06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644" w:type="dxa"/>
          </w:tcPr>
          <w:p w:rsidR="005D0626" w:rsidRPr="00C41F04" w:rsidRDefault="005D0626" w:rsidP="005D0626">
            <w:pPr>
              <w:pStyle w:val="Corpodetexto"/>
              <w:spacing w:before="0" w:after="0"/>
              <w:rPr>
                <w:rFonts w:ascii="Arial" w:hAnsi="Arial" w:cs="Arial"/>
              </w:rPr>
            </w:pPr>
            <w:r w:rsidRPr="00C41F04">
              <w:rPr>
                <w:rFonts w:ascii="Arial" w:hAnsi="Arial" w:cs="Arial"/>
                <w:sz w:val="22"/>
                <w:szCs w:val="22"/>
              </w:rPr>
              <w:t xml:space="preserve">1ª - A avaliação será através da apresentação de seminário pelos alunos sendo os mesmos avaliados segundo os critérios de apresentação e participação nas discussões, recebendo notas de 0 (zero) a 10,0 (dez). </w:t>
            </w:r>
          </w:p>
          <w:p w:rsidR="005D0626" w:rsidRPr="00C41F04" w:rsidRDefault="005D0626" w:rsidP="005D0626">
            <w:pPr>
              <w:pStyle w:val="Subitem"/>
              <w:spacing w:after="0"/>
              <w:ind w:left="0" w:firstLine="0"/>
              <w:rPr>
                <w:rFonts w:cs="Arial"/>
              </w:rPr>
            </w:pPr>
          </w:p>
        </w:tc>
      </w:tr>
    </w:tbl>
    <w:p w:rsidR="005D0626" w:rsidRPr="002D098F" w:rsidRDefault="005D0626" w:rsidP="002D098F">
      <w:pPr>
        <w:rPr>
          <w:rFonts w:ascii="Arial" w:hAnsi="Arial"/>
          <w:sz w:val="20"/>
          <w:szCs w:val="22"/>
          <w:lang w:val="en-US"/>
        </w:rPr>
      </w:pPr>
    </w:p>
    <w:sectPr w:rsidR="005D0626" w:rsidRPr="002D09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24266E47"/>
    <w:multiLevelType w:val="hybridMultilevel"/>
    <w:tmpl w:val="AFDADEE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DD06AC"/>
    <w:multiLevelType w:val="hybridMultilevel"/>
    <w:tmpl w:val="6E3EBB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3A1563"/>
    <w:multiLevelType w:val="hybridMultilevel"/>
    <w:tmpl w:val="82AEEB44"/>
    <w:lvl w:ilvl="0" w:tplc="456458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762FEF"/>
    <w:multiLevelType w:val="hybridMultilevel"/>
    <w:tmpl w:val="52F86358"/>
    <w:lvl w:ilvl="0" w:tplc="456458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EA2211"/>
    <w:multiLevelType w:val="hybridMultilevel"/>
    <w:tmpl w:val="5D724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5613DB"/>
    <w:multiLevelType w:val="hybridMultilevel"/>
    <w:tmpl w:val="EA1AA9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D098F"/>
    <w:rsid w:val="002D098F"/>
    <w:rsid w:val="003229F5"/>
    <w:rsid w:val="004B145B"/>
    <w:rsid w:val="004F093D"/>
    <w:rsid w:val="005D0626"/>
    <w:rsid w:val="00767793"/>
    <w:rsid w:val="00A434A7"/>
    <w:rsid w:val="00A8591C"/>
    <w:rsid w:val="00DB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98F"/>
    <w:rPr>
      <w:rFonts w:ascii="Bookman Old Style" w:hAnsi="Bookman Old Style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2D098F"/>
    <w:pPr>
      <w:keepNext/>
      <w:jc w:val="center"/>
      <w:outlineLvl w:val="0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5D062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sid w:val="005D0626"/>
    <w:pPr>
      <w:spacing w:before="60" w:after="60"/>
      <w:jc w:val="both"/>
    </w:pPr>
    <w:rPr>
      <w:rFonts w:ascii="Times New Roman" w:hAnsi="Times New Roman"/>
    </w:rPr>
  </w:style>
  <w:style w:type="paragraph" w:customStyle="1" w:styleId="Subitem">
    <w:name w:val="Subitem"/>
    <w:basedOn w:val="Normal"/>
    <w:rsid w:val="005D0626"/>
    <w:pPr>
      <w:spacing w:after="60"/>
      <w:ind w:left="851" w:hanging="284"/>
      <w:jc w:val="both"/>
    </w:pPr>
    <w:rPr>
      <w:rFonts w:ascii="Arial" w:hAnsi="Arial"/>
      <w:sz w:val="22"/>
    </w:rPr>
  </w:style>
  <w:style w:type="character" w:customStyle="1" w:styleId="Ttulo1Char">
    <w:name w:val="Título 1 Char"/>
    <w:basedOn w:val="Fontepargpadro"/>
    <w:link w:val="Ttulo1"/>
    <w:uiPriority w:val="99"/>
    <w:rsid w:val="00767793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sec-pbf</dc:creator>
  <cp:lastModifiedBy>Usuário do Windows</cp:lastModifiedBy>
  <cp:revision>4</cp:revision>
  <dcterms:created xsi:type="dcterms:W3CDTF">2019-06-17T13:02:00Z</dcterms:created>
  <dcterms:modified xsi:type="dcterms:W3CDTF">2019-06-17T13:02:00Z</dcterms:modified>
</cp:coreProperties>
</file>