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5F" w:rsidRPr="00D63DA4" w:rsidRDefault="002E065F" w:rsidP="00A20BE6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>UNIVERSIDADE ESTADUAL DE MARINGÁ</w:t>
      </w:r>
    </w:p>
    <w:p w:rsidR="002E065F" w:rsidRPr="00D63DA4" w:rsidRDefault="002E065F" w:rsidP="00A20BE6">
      <w:pPr>
        <w:rPr>
          <w:rFonts w:ascii="Arial" w:hAnsi="Arial" w:cs="Arial"/>
          <w:b/>
          <w:sz w:val="22"/>
          <w:szCs w:val="22"/>
        </w:rPr>
      </w:pPr>
      <w:r w:rsidRPr="00D63DA4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D63DA4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2E065F" w:rsidRPr="002B716B" w:rsidRDefault="002E065F" w:rsidP="00A20BE6">
      <w:pPr>
        <w:rPr>
          <w:rFonts w:ascii="Arial" w:hAnsi="Arial" w:cs="Arial"/>
        </w:rPr>
      </w:pP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20"/>
      </w:tblGrid>
      <w:tr w:rsidR="002E065F" w:rsidRPr="002B716B" w:rsidTr="00D63DA4">
        <w:tc>
          <w:tcPr>
            <w:tcW w:w="90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8D8D8"/>
          </w:tcPr>
          <w:p w:rsidR="002E065F" w:rsidRPr="002B716B" w:rsidRDefault="002E065F" w:rsidP="00A20BE6">
            <w:pPr>
              <w:pStyle w:val="Ttulo1"/>
              <w:tabs>
                <w:tab w:val="left" w:pos="0"/>
              </w:tabs>
              <w:snapToGrid w:val="0"/>
              <w:spacing w:before="60" w:after="60"/>
              <w:rPr>
                <w:rFonts w:cs="Arial"/>
                <w:szCs w:val="24"/>
              </w:rPr>
            </w:pPr>
            <w:r w:rsidRPr="002B716B">
              <w:rPr>
                <w:rFonts w:cs="Arial"/>
                <w:szCs w:val="24"/>
              </w:rPr>
              <w:t>PROGRAMA DA DISCIPLINA</w:t>
            </w:r>
          </w:p>
        </w:tc>
      </w:tr>
    </w:tbl>
    <w:p w:rsidR="002E065F" w:rsidRPr="002B716B" w:rsidRDefault="002E065F" w:rsidP="00A20BE6">
      <w:pPr>
        <w:rPr>
          <w:rFonts w:ascii="Arial" w:hAnsi="Arial" w:cs="Arial"/>
        </w:rPr>
      </w:pPr>
    </w:p>
    <w:tbl>
      <w:tblPr>
        <w:tblW w:w="90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531"/>
      </w:tblGrid>
      <w:tr w:rsidR="002E065F" w:rsidRPr="00433725" w:rsidTr="00FB677B">
        <w:tc>
          <w:tcPr>
            <w:tcW w:w="9020" w:type="dxa"/>
            <w:gridSpan w:val="4"/>
          </w:tcPr>
          <w:p w:rsidR="002E065F" w:rsidRPr="00433725" w:rsidRDefault="002E065F" w:rsidP="0059303E">
            <w:pPr>
              <w:snapToGrid w:val="0"/>
              <w:spacing w:before="60"/>
              <w:jc w:val="both"/>
              <w:rPr>
                <w:rFonts w:ascii="Arial" w:hAnsi="Arial" w:cs="Arial"/>
              </w:rPr>
            </w:pPr>
            <w:r w:rsidRPr="00340C05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433725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DAB4032</w:t>
            </w:r>
          </w:p>
          <w:p w:rsidR="002E065F" w:rsidRPr="007114B3" w:rsidRDefault="002E065F" w:rsidP="0059303E">
            <w:pPr>
              <w:pStyle w:val="Ttulo1"/>
              <w:spacing w:before="60"/>
              <w:jc w:val="both"/>
              <w:rPr>
                <w:b w:val="0"/>
              </w:rPr>
            </w:pPr>
            <w:r w:rsidRPr="000E5663">
              <w:rPr>
                <w:sz w:val="22"/>
                <w:szCs w:val="22"/>
              </w:rPr>
              <w:t>NOME</w:t>
            </w:r>
            <w:r w:rsidRPr="00433725">
              <w:t>:</w:t>
            </w:r>
            <w:r>
              <w:t xml:space="preserve"> </w:t>
            </w:r>
            <w:r w:rsidRPr="007114B3">
              <w:rPr>
                <w:rFonts w:cs="Arial"/>
                <w:b w:val="0"/>
                <w:sz w:val="22"/>
                <w:szCs w:val="22"/>
              </w:rPr>
              <w:t xml:space="preserve">Recentes avanços </w:t>
            </w:r>
            <w:r>
              <w:rPr>
                <w:rFonts w:cs="Arial"/>
                <w:b w:val="0"/>
                <w:sz w:val="22"/>
                <w:szCs w:val="22"/>
              </w:rPr>
              <w:t>na</w:t>
            </w:r>
            <w:r w:rsidRPr="007114B3">
              <w:rPr>
                <w:rFonts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7114B3">
              <w:rPr>
                <w:rFonts w:cs="Arial"/>
                <w:b w:val="0"/>
                <w:sz w:val="22"/>
                <w:szCs w:val="22"/>
              </w:rPr>
              <w:t>carcinogênese</w:t>
            </w:r>
            <w:proofErr w:type="spellEnd"/>
            <w:r w:rsidRPr="007114B3">
              <w:rPr>
                <w:rFonts w:cs="Arial"/>
                <w:b w:val="0"/>
                <w:sz w:val="22"/>
                <w:szCs w:val="22"/>
              </w:rPr>
              <w:t xml:space="preserve"> genital</w:t>
            </w:r>
            <w:r>
              <w:rPr>
                <w:rFonts w:cs="Arial"/>
                <w:b w:val="0"/>
                <w:sz w:val="22"/>
                <w:szCs w:val="22"/>
              </w:rPr>
              <w:t xml:space="preserve"> associada a</w:t>
            </w:r>
            <w:r w:rsidRPr="007114B3">
              <w:rPr>
                <w:rFonts w:cs="Arial"/>
                <w:b w:val="0"/>
                <w:sz w:val="22"/>
                <w:szCs w:val="22"/>
              </w:rPr>
              <w:t xml:space="preserve"> doenças sexualmente transmissíveis</w:t>
            </w:r>
          </w:p>
          <w:p w:rsidR="002E065F" w:rsidRPr="0059303E" w:rsidRDefault="002E065F" w:rsidP="0059303E">
            <w:pPr>
              <w:spacing w:before="60"/>
            </w:pPr>
            <w:r w:rsidRPr="000E5663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Mestrado e D</w:t>
            </w:r>
            <w:r w:rsidRPr="0059303E">
              <w:rPr>
                <w:rFonts w:ascii="Arial" w:hAnsi="Arial" w:cs="Arial"/>
                <w:sz w:val="22"/>
                <w:szCs w:val="22"/>
              </w:rPr>
              <w:t>outorado</w:t>
            </w:r>
          </w:p>
        </w:tc>
      </w:tr>
      <w:tr w:rsidR="002E065F" w:rsidRPr="00433725" w:rsidTr="00FB677B">
        <w:trPr>
          <w:cantSplit/>
          <w:trHeight w:hRule="exact" w:val="479"/>
        </w:trPr>
        <w:tc>
          <w:tcPr>
            <w:tcW w:w="4489" w:type="dxa"/>
            <w:gridSpan w:val="3"/>
          </w:tcPr>
          <w:p w:rsidR="002E065F" w:rsidRPr="00433725" w:rsidRDefault="002E065F" w:rsidP="00FB677B">
            <w:pPr>
              <w:snapToGrid w:val="0"/>
              <w:spacing w:beforeLines="40" w:afterLines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CRÉDITOS</w:t>
            </w:r>
          </w:p>
        </w:tc>
        <w:tc>
          <w:tcPr>
            <w:tcW w:w="4531" w:type="dxa"/>
            <w:vMerge w:val="restart"/>
          </w:tcPr>
          <w:p w:rsidR="002E065F" w:rsidRPr="00433725" w:rsidRDefault="002E065F" w:rsidP="00FB677B">
            <w:pPr>
              <w:snapToGrid w:val="0"/>
              <w:spacing w:beforeLines="40" w:afterLines="40"/>
              <w:ind w:lef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CARGA HORÁRIA TOTAL:</w:t>
            </w:r>
          </w:p>
          <w:p w:rsidR="002E065F" w:rsidRPr="00433725" w:rsidRDefault="002E065F" w:rsidP="00FB677B">
            <w:pPr>
              <w:snapToGrid w:val="0"/>
              <w:spacing w:beforeLines="40" w:afterLines="40"/>
              <w:ind w:left="3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433725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</w:p>
        </w:tc>
      </w:tr>
      <w:tr w:rsidR="002E065F" w:rsidRPr="00433725" w:rsidTr="00FB677B">
        <w:trPr>
          <w:cantSplit/>
          <w:trHeight w:hRule="exact" w:val="481"/>
        </w:trPr>
        <w:tc>
          <w:tcPr>
            <w:tcW w:w="1204" w:type="dxa"/>
          </w:tcPr>
          <w:p w:rsidR="002E065F" w:rsidRPr="00CD35CC" w:rsidRDefault="002E065F" w:rsidP="00FB677B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CD35CC">
              <w:rPr>
                <w:rFonts w:ascii="Arial" w:hAnsi="Arial" w:cs="Arial"/>
                <w:b/>
                <w:sz w:val="20"/>
                <w:szCs w:val="20"/>
              </w:rPr>
              <w:t xml:space="preserve">TOTAL: </w:t>
            </w:r>
            <w:proofErr w:type="gramStart"/>
            <w:r w:rsidRPr="00CD35CC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560" w:type="dxa"/>
          </w:tcPr>
          <w:p w:rsidR="002E065F" w:rsidRPr="00433725" w:rsidRDefault="002E065F" w:rsidP="00FB677B">
            <w:pPr>
              <w:snapToGrid w:val="0"/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>PRÁTICOS:</w:t>
            </w:r>
          </w:p>
        </w:tc>
        <w:tc>
          <w:tcPr>
            <w:tcW w:w="1725" w:type="dxa"/>
          </w:tcPr>
          <w:p w:rsidR="002E065F" w:rsidRPr="00433725" w:rsidRDefault="002E065F" w:rsidP="00FB677B">
            <w:pPr>
              <w:snapToGrid w:val="0"/>
              <w:spacing w:beforeLines="40" w:afterLines="40"/>
              <w:rPr>
                <w:rFonts w:ascii="Arial" w:hAnsi="Arial" w:cs="Arial"/>
                <w:b/>
                <w:sz w:val="20"/>
                <w:szCs w:val="20"/>
              </w:rPr>
            </w:pPr>
            <w:r w:rsidRPr="00433725">
              <w:rPr>
                <w:rFonts w:ascii="Arial" w:hAnsi="Arial" w:cs="Arial"/>
                <w:sz w:val="20"/>
                <w:szCs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531" w:type="dxa"/>
            <w:vMerge/>
          </w:tcPr>
          <w:p w:rsidR="002E065F" w:rsidRPr="00433725" w:rsidRDefault="002E065F" w:rsidP="00FB677B">
            <w:pPr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5F" w:rsidRPr="00433725" w:rsidTr="00FB677B">
        <w:trPr>
          <w:cantSplit/>
        </w:trPr>
        <w:tc>
          <w:tcPr>
            <w:tcW w:w="4489" w:type="dxa"/>
            <w:gridSpan w:val="3"/>
          </w:tcPr>
          <w:p w:rsidR="002E065F" w:rsidRPr="00433725" w:rsidRDefault="002E065F" w:rsidP="00A20BE6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1" w:type="dxa"/>
          </w:tcPr>
          <w:p w:rsidR="002E065F" w:rsidRPr="00433725" w:rsidRDefault="002E065F" w:rsidP="00A20BE6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433725"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2E065F" w:rsidRDefault="002E065F" w:rsidP="00A20BE6">
      <w:pPr>
        <w:rPr>
          <w:rFonts w:ascii="Arial" w:hAnsi="Arial" w:cs="Arial"/>
        </w:rPr>
      </w:pPr>
    </w:p>
    <w:p w:rsidR="002E065F" w:rsidRPr="007729CE" w:rsidRDefault="002E065F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 xml:space="preserve">EMENTA: </w:t>
      </w:r>
    </w:p>
    <w:p w:rsidR="002E065F" w:rsidRPr="007114B3" w:rsidRDefault="002E065F" w:rsidP="007114B3">
      <w:pPr>
        <w:pStyle w:val="Ttulo1"/>
        <w:spacing w:before="60"/>
        <w:jc w:val="both"/>
        <w:rPr>
          <w:b w:val="0"/>
        </w:rPr>
      </w:pPr>
      <w:r w:rsidRPr="007114B3">
        <w:rPr>
          <w:rFonts w:cs="Arial"/>
          <w:b w:val="0"/>
          <w:sz w:val="22"/>
          <w:szCs w:val="22"/>
        </w:rPr>
        <w:t xml:space="preserve">Análise crítica e atualizada de temas </w:t>
      </w:r>
      <w:r>
        <w:rPr>
          <w:rFonts w:cs="Arial"/>
          <w:b w:val="0"/>
          <w:sz w:val="22"/>
          <w:szCs w:val="22"/>
        </w:rPr>
        <w:t>relacionados à</w:t>
      </w:r>
      <w:r w:rsidRPr="007114B3">
        <w:rPr>
          <w:rFonts w:cs="Arial"/>
          <w:b w:val="0"/>
          <w:sz w:val="22"/>
          <w:szCs w:val="22"/>
        </w:rPr>
        <w:t xml:space="preserve"> </w:t>
      </w:r>
      <w:proofErr w:type="spellStart"/>
      <w:r w:rsidRPr="007114B3">
        <w:rPr>
          <w:rFonts w:cs="Arial"/>
          <w:b w:val="0"/>
          <w:sz w:val="22"/>
          <w:szCs w:val="22"/>
        </w:rPr>
        <w:t>carcinogênese</w:t>
      </w:r>
      <w:proofErr w:type="spellEnd"/>
      <w:r w:rsidRPr="007114B3">
        <w:rPr>
          <w:rFonts w:cs="Arial"/>
          <w:b w:val="0"/>
          <w:sz w:val="22"/>
          <w:szCs w:val="22"/>
        </w:rPr>
        <w:t xml:space="preserve"> genital </w:t>
      </w:r>
      <w:r>
        <w:rPr>
          <w:rFonts w:cs="Arial"/>
          <w:b w:val="0"/>
          <w:sz w:val="22"/>
          <w:szCs w:val="22"/>
        </w:rPr>
        <w:t xml:space="preserve">masculina e feminina associada a </w:t>
      </w:r>
      <w:r w:rsidRPr="007114B3">
        <w:rPr>
          <w:rFonts w:cs="Arial"/>
          <w:b w:val="0"/>
          <w:sz w:val="22"/>
          <w:szCs w:val="22"/>
        </w:rPr>
        <w:t>doenças sexualmente transmissíveis</w:t>
      </w:r>
      <w:r>
        <w:rPr>
          <w:rFonts w:cs="Arial"/>
          <w:b w:val="0"/>
          <w:sz w:val="22"/>
          <w:szCs w:val="22"/>
        </w:rPr>
        <w:t>.</w:t>
      </w:r>
    </w:p>
    <w:p w:rsidR="002E065F" w:rsidRDefault="002E065F" w:rsidP="006F75F8">
      <w:pPr>
        <w:ind w:right="-316"/>
        <w:jc w:val="both"/>
        <w:rPr>
          <w:rFonts w:ascii="Arial" w:hAnsi="Arial" w:cs="Arial"/>
          <w:sz w:val="22"/>
          <w:szCs w:val="22"/>
        </w:rPr>
      </w:pPr>
    </w:p>
    <w:p w:rsidR="002E065F" w:rsidRPr="007729CE" w:rsidRDefault="002E065F" w:rsidP="006F75F8">
      <w:pPr>
        <w:ind w:right="-316"/>
        <w:rPr>
          <w:rFonts w:ascii="Arial" w:hAnsi="Arial" w:cs="Arial"/>
          <w:sz w:val="22"/>
          <w:szCs w:val="22"/>
        </w:rPr>
      </w:pPr>
    </w:p>
    <w:p w:rsidR="002E065F" w:rsidRPr="007729CE" w:rsidRDefault="002E065F" w:rsidP="006F75F8">
      <w:pPr>
        <w:snapToGrid w:val="0"/>
        <w:spacing w:before="60" w:after="60" w:line="276" w:lineRule="auto"/>
        <w:ind w:right="-316"/>
        <w:rPr>
          <w:rFonts w:ascii="Arial" w:hAnsi="Arial" w:cs="Arial"/>
          <w:b/>
          <w:sz w:val="22"/>
          <w:szCs w:val="22"/>
        </w:rPr>
      </w:pPr>
      <w:r w:rsidRPr="007729CE">
        <w:rPr>
          <w:rFonts w:ascii="Arial" w:hAnsi="Arial" w:cs="Arial"/>
          <w:b/>
          <w:sz w:val="22"/>
          <w:szCs w:val="22"/>
        </w:rPr>
        <w:t>PROGRAMA:</w:t>
      </w:r>
    </w:p>
    <w:p w:rsidR="002E065F" w:rsidRDefault="002E065F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Atualizações conceituais.</w:t>
      </w:r>
    </w:p>
    <w:p w:rsidR="002E065F" w:rsidRPr="007114B3" w:rsidRDefault="002E065F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Epidemiologia dos diferentes cânceres </w:t>
      </w:r>
      <w:r w:rsidRPr="007114B3">
        <w:rPr>
          <w:rFonts w:ascii="Arial" w:hAnsi="Arial" w:cs="Arial"/>
          <w:sz w:val="22"/>
          <w:szCs w:val="22"/>
        </w:rPr>
        <w:t xml:space="preserve">genitais </w:t>
      </w:r>
      <w:r>
        <w:rPr>
          <w:rFonts w:ascii="Arial" w:hAnsi="Arial" w:cs="Arial"/>
          <w:sz w:val="22"/>
          <w:szCs w:val="22"/>
        </w:rPr>
        <w:t>masculinos e femininos</w:t>
      </w:r>
      <w:r w:rsidRPr="007114B3">
        <w:rPr>
          <w:rFonts w:ascii="Arial" w:hAnsi="Arial" w:cs="Arial"/>
          <w:sz w:val="22"/>
          <w:szCs w:val="22"/>
        </w:rPr>
        <w:t xml:space="preserve"> associados</w:t>
      </w:r>
      <w:r>
        <w:rPr>
          <w:rFonts w:ascii="Arial" w:hAnsi="Arial" w:cs="Arial"/>
          <w:sz w:val="22"/>
          <w:szCs w:val="22"/>
        </w:rPr>
        <w:t xml:space="preserve"> a </w:t>
      </w:r>
      <w:r w:rsidRPr="007114B3">
        <w:rPr>
          <w:rFonts w:ascii="Arial" w:hAnsi="Arial" w:cs="Arial"/>
          <w:sz w:val="22"/>
          <w:szCs w:val="22"/>
        </w:rPr>
        <w:t>doenças sexualmente transmissíveis.</w:t>
      </w:r>
    </w:p>
    <w:p w:rsidR="002E065F" w:rsidRPr="007114B3" w:rsidRDefault="002E065F" w:rsidP="007114B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Recentes avanços metodológicos aplicado</w:t>
      </w:r>
      <w:r w:rsidRPr="00EA4C6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</w:t>
      </w:r>
      <w:r w:rsidRPr="00EA4C69">
        <w:rPr>
          <w:rFonts w:ascii="Arial" w:hAnsi="Arial" w:cs="Arial"/>
          <w:sz w:val="22"/>
          <w:szCs w:val="22"/>
        </w:rPr>
        <w:t xml:space="preserve"> </w:t>
      </w:r>
      <w:r w:rsidRPr="00076612">
        <w:rPr>
          <w:rFonts w:ascii="Arial" w:hAnsi="Arial" w:cs="Arial"/>
          <w:sz w:val="22"/>
          <w:szCs w:val="22"/>
        </w:rPr>
        <w:t xml:space="preserve">pesquisa </w:t>
      </w:r>
      <w:r w:rsidRPr="007114B3">
        <w:rPr>
          <w:rFonts w:ascii="Arial" w:hAnsi="Arial" w:cs="Arial"/>
          <w:sz w:val="22"/>
          <w:szCs w:val="22"/>
        </w:rPr>
        <w:t xml:space="preserve">em </w:t>
      </w:r>
      <w:proofErr w:type="spellStart"/>
      <w:r w:rsidRPr="007114B3">
        <w:rPr>
          <w:rFonts w:ascii="Arial" w:hAnsi="Arial" w:cs="Arial"/>
          <w:sz w:val="22"/>
          <w:szCs w:val="22"/>
        </w:rPr>
        <w:t>carcinogênese</w:t>
      </w:r>
      <w:proofErr w:type="spellEnd"/>
      <w:r w:rsidRPr="007114B3">
        <w:rPr>
          <w:rFonts w:ascii="Arial" w:hAnsi="Arial" w:cs="Arial"/>
          <w:sz w:val="22"/>
          <w:szCs w:val="22"/>
        </w:rPr>
        <w:t xml:space="preserve"> genital</w:t>
      </w:r>
      <w:r>
        <w:rPr>
          <w:rFonts w:ascii="Arial" w:hAnsi="Arial" w:cs="Arial"/>
          <w:sz w:val="22"/>
          <w:szCs w:val="22"/>
        </w:rPr>
        <w:t xml:space="preserve"> associada a </w:t>
      </w:r>
      <w:r w:rsidRPr="007114B3">
        <w:rPr>
          <w:rFonts w:ascii="Arial" w:hAnsi="Arial" w:cs="Arial"/>
          <w:sz w:val="22"/>
          <w:szCs w:val="22"/>
        </w:rPr>
        <w:t>doenças sexualmente transmissíveis.</w:t>
      </w:r>
    </w:p>
    <w:p w:rsidR="002E065F" w:rsidRDefault="002E065F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 w:rsidRPr="00076612">
        <w:rPr>
          <w:rFonts w:ascii="Arial" w:hAnsi="Arial" w:cs="Arial"/>
          <w:sz w:val="22"/>
          <w:szCs w:val="22"/>
        </w:rPr>
        <w:t xml:space="preserve">Discussão e atualização de protocolos destinados à investigação sobre a </w:t>
      </w:r>
      <w:r>
        <w:rPr>
          <w:rFonts w:ascii="Arial" w:hAnsi="Arial" w:cs="Arial"/>
          <w:sz w:val="22"/>
          <w:szCs w:val="22"/>
        </w:rPr>
        <w:t xml:space="preserve">fisiopatologia dos cânceres genitais associados a </w:t>
      </w:r>
      <w:r w:rsidRPr="007114B3">
        <w:rPr>
          <w:rFonts w:ascii="Arial" w:hAnsi="Arial" w:cs="Arial"/>
          <w:sz w:val="22"/>
          <w:szCs w:val="22"/>
        </w:rPr>
        <w:t>doenças sexualmente transmissíveis</w:t>
      </w:r>
      <w:r w:rsidRPr="00076612">
        <w:rPr>
          <w:rFonts w:ascii="Arial" w:hAnsi="Arial" w:cs="Arial"/>
          <w:sz w:val="22"/>
          <w:szCs w:val="22"/>
        </w:rPr>
        <w:t>.</w:t>
      </w:r>
    </w:p>
    <w:p w:rsidR="002E065F" w:rsidRPr="00076612" w:rsidRDefault="002E065F" w:rsidP="00315713">
      <w:pPr>
        <w:numPr>
          <w:ilvl w:val="0"/>
          <w:numId w:val="7"/>
        </w:numPr>
        <w:tabs>
          <w:tab w:val="clear" w:pos="720"/>
          <w:tab w:val="num" w:pos="284"/>
        </w:tabs>
        <w:snapToGrid w:val="0"/>
        <w:spacing w:before="20" w:after="20"/>
        <w:ind w:left="284" w:right="-31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Abordagens atuais na prevenção dos cânceres genitais e das </w:t>
      </w:r>
      <w:r w:rsidRPr="007114B3">
        <w:rPr>
          <w:rFonts w:ascii="Arial" w:hAnsi="Arial" w:cs="Arial"/>
          <w:sz w:val="22"/>
          <w:szCs w:val="22"/>
        </w:rPr>
        <w:t>doenças sexualmente transmissíveis</w:t>
      </w:r>
      <w:r>
        <w:rPr>
          <w:rFonts w:ascii="Arial" w:hAnsi="Arial" w:cs="Arial"/>
          <w:sz w:val="22"/>
          <w:szCs w:val="22"/>
        </w:rPr>
        <w:t>.</w:t>
      </w:r>
    </w:p>
    <w:p w:rsidR="002E065F" w:rsidRPr="00406937" w:rsidRDefault="002E065F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</w:p>
    <w:p w:rsidR="002E065F" w:rsidRPr="00447D92" w:rsidRDefault="002E065F" w:rsidP="006F75F8">
      <w:pPr>
        <w:snapToGrid w:val="0"/>
        <w:spacing w:before="60" w:after="60"/>
        <w:ind w:right="-316"/>
        <w:jc w:val="both"/>
        <w:rPr>
          <w:rFonts w:ascii="Arial" w:hAnsi="Arial" w:cs="Arial"/>
          <w:b/>
          <w:sz w:val="22"/>
          <w:szCs w:val="22"/>
        </w:rPr>
      </w:pPr>
      <w:r w:rsidRPr="00447D92">
        <w:rPr>
          <w:rFonts w:ascii="Arial" w:hAnsi="Arial" w:cs="Arial"/>
          <w:b/>
          <w:sz w:val="22"/>
          <w:szCs w:val="22"/>
        </w:rPr>
        <w:t>BIBLIOGRAFIA: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47D92">
        <w:rPr>
          <w:rFonts w:ascii="Arial" w:hAnsi="Arial" w:cs="Arial"/>
          <w:color w:val="000000"/>
          <w:sz w:val="22"/>
          <w:szCs w:val="22"/>
        </w:rPr>
        <w:t>Instituto Nacional de Câncer. INCA estima que haverá 596.070 novos casos de câncer em 2016. [</w:t>
      </w:r>
      <w:hyperlink r:id="rId5" w:history="1">
        <w:r w:rsidRPr="00447D92">
          <w:rPr>
            <w:rStyle w:val="Hyperlink"/>
            <w:rFonts w:ascii="Arial" w:hAnsi="Arial" w:cs="Arial"/>
            <w:color w:val="000000"/>
            <w:sz w:val="22"/>
            <w:szCs w:val="22"/>
          </w:rPr>
          <w:t>http://www.inca.gov.br/wcm/dncc/2015/por-tipos.asp</w:t>
        </w:r>
      </w:hyperlink>
      <w:r w:rsidRPr="00447D92">
        <w:rPr>
          <w:rFonts w:ascii="Arial" w:hAnsi="Arial" w:cs="Arial"/>
          <w:color w:val="000000"/>
          <w:sz w:val="22"/>
          <w:szCs w:val="22"/>
        </w:rPr>
        <w:t xml:space="preserve">]. </w:t>
      </w: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Published 2015. Accessed 10 Jan 2016. 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</w:rPr>
        <w:t>Consolaro</w:t>
      </w:r>
      <w:proofErr w:type="spellEnd"/>
      <w:r w:rsidRPr="00447D92">
        <w:rPr>
          <w:rFonts w:ascii="Arial" w:hAnsi="Arial" w:cs="Arial"/>
          <w:color w:val="000000"/>
          <w:sz w:val="22"/>
          <w:szCs w:val="22"/>
        </w:rPr>
        <w:t xml:space="preserve">, MEL; Maria-Engler, SS. Citologia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</w:rPr>
        <w:t>cérvico-vaginal</w:t>
      </w:r>
      <w:proofErr w:type="spellEnd"/>
      <w:r w:rsidRPr="00447D92">
        <w:rPr>
          <w:rFonts w:ascii="Arial" w:hAnsi="Arial" w:cs="Arial"/>
          <w:color w:val="000000"/>
          <w:sz w:val="22"/>
          <w:szCs w:val="22"/>
        </w:rPr>
        <w:t xml:space="preserve">: texto e atlas.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</w:rPr>
        <w:t>Rocca</w:t>
      </w:r>
      <w:proofErr w:type="spellEnd"/>
      <w:r w:rsidRPr="00447D92">
        <w:rPr>
          <w:rFonts w:ascii="Arial" w:hAnsi="Arial" w:cs="Arial"/>
          <w:color w:val="000000"/>
          <w:sz w:val="22"/>
          <w:szCs w:val="22"/>
        </w:rPr>
        <w:t>, São Paulo, 2012.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CD35CC">
        <w:rPr>
          <w:rFonts w:ascii="Arial" w:hAnsi="Arial" w:cs="Arial"/>
          <w:color w:val="000000"/>
          <w:sz w:val="22"/>
          <w:szCs w:val="22"/>
          <w:lang w:val="en-US"/>
        </w:rPr>
        <w:t>Koh</w:t>
      </w:r>
      <w:proofErr w:type="spellEnd"/>
      <w:r w:rsidRPr="00CD35CC">
        <w:rPr>
          <w:rFonts w:ascii="Arial" w:hAnsi="Arial" w:cs="Arial"/>
          <w:color w:val="000000"/>
          <w:sz w:val="22"/>
          <w:szCs w:val="22"/>
          <w:lang w:val="en-US"/>
        </w:rPr>
        <w:t xml:space="preserve">  et  al.,  2015  -  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  <w:lang w:val="en-US"/>
        </w:rPr>
        <w:t>Koh</w:t>
      </w:r>
      <w:proofErr w:type="spellEnd"/>
      <w:r w:rsidRPr="00CD35CC">
        <w:rPr>
          <w:rFonts w:ascii="Arial" w:hAnsi="Arial" w:cs="Arial"/>
          <w:color w:val="000000"/>
          <w:sz w:val="22"/>
          <w:szCs w:val="22"/>
          <w:lang w:val="en-US"/>
        </w:rPr>
        <w:t xml:space="preserve">  WJ,  Greer  BE,  Abu-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  <w:lang w:val="en-US"/>
        </w:rPr>
        <w:t>Rustum</w:t>
      </w:r>
      <w:proofErr w:type="spellEnd"/>
      <w:r w:rsidRPr="00CD35CC">
        <w:rPr>
          <w:rFonts w:ascii="Arial" w:hAnsi="Arial" w:cs="Arial"/>
          <w:color w:val="000000"/>
          <w:sz w:val="22"/>
          <w:szCs w:val="22"/>
          <w:lang w:val="en-US"/>
        </w:rPr>
        <w:t xml:space="preserve">  NR,  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  <w:lang w:val="en-US"/>
        </w:rPr>
        <w:t>Apte</w:t>
      </w:r>
      <w:proofErr w:type="spellEnd"/>
      <w:r w:rsidRPr="00CD35CC">
        <w:rPr>
          <w:rFonts w:ascii="Arial" w:hAnsi="Arial" w:cs="Arial"/>
          <w:color w:val="000000"/>
          <w:sz w:val="22"/>
          <w:szCs w:val="22"/>
          <w:lang w:val="en-US"/>
        </w:rPr>
        <w:t xml:space="preserve"> SM,  Campos  SM,  Cho  KR,  et  al. </w:t>
      </w:r>
      <w:r w:rsidRPr="001F6944">
        <w:rPr>
          <w:rFonts w:ascii="Arial" w:hAnsi="Arial" w:cs="Arial"/>
          <w:color w:val="000000"/>
          <w:sz w:val="22"/>
          <w:szCs w:val="22"/>
        </w:rPr>
        <w:t xml:space="preserve">Cervical </w:t>
      </w:r>
      <w:proofErr w:type="spellStart"/>
      <w:r w:rsidRPr="001F6944">
        <w:rPr>
          <w:rFonts w:ascii="Arial" w:hAnsi="Arial" w:cs="Arial"/>
          <w:color w:val="000000"/>
          <w:sz w:val="22"/>
          <w:szCs w:val="22"/>
        </w:rPr>
        <w:t>Cancer</w:t>
      </w:r>
      <w:proofErr w:type="spellEnd"/>
      <w:r w:rsidRPr="001F6944">
        <w:rPr>
          <w:rFonts w:ascii="Arial" w:hAnsi="Arial" w:cs="Arial"/>
          <w:color w:val="000000"/>
          <w:sz w:val="22"/>
          <w:szCs w:val="22"/>
        </w:rPr>
        <w:t xml:space="preserve">, Version 2. </w:t>
      </w: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J Nat Comp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Canc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Netw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2015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;13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:(4)395-405.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Sudenga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SL,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Rositch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AF, </w:t>
      </w:r>
      <w:proofErr w:type="spellStart"/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47D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Oitieno</w:t>
            </w:r>
          </w:smartTag>
          <w:proofErr w:type="spellEnd"/>
          <w:r w:rsidRPr="00447D92">
            <w:rPr>
              <w:rFonts w:ascii="Arial" w:hAnsi="Arial" w:cs="Arial"/>
              <w:color w:val="000000"/>
              <w:sz w:val="22"/>
              <w:szCs w:val="22"/>
              <w:lang w:val="en-US"/>
            </w:rPr>
            <w:t xml:space="preserve"> </w:t>
          </w:r>
          <w:smartTag w:uri="urn:schemas-microsoft-com:office:smarttags" w:element="State">
            <w:r w:rsidRPr="00447D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</w:t>
            </w:r>
          </w:smartTag>
        </w:smartTag>
      </w:smartTag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, Smith JS. Brief Report: Knowledge, attitudes, practices and perceived risk of cervical cancer among Kenyan women.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Int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J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Gynecol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Cancer. 2014 Jun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;23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(5):895-899. 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Wright TC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Jr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Stoler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MH, Behrens CM, Sharma A, Sharma K, Apple R.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Interlaboratory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variation in the performance of liquid based cytology: insights from the ATHENA trial.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Int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J Cancer. 2014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;134:1835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-1843. 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Kietpeerakool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C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,Tangjitgamol</w:t>
      </w:r>
      <w:proofErr w:type="spellEnd"/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S,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Srisomboon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J.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Histopathological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outcomes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ofwomenwith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abnormal cervical cytology: a review of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literaturein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47D92">
            <w:rPr>
              <w:rFonts w:ascii="Arial" w:hAnsi="Arial" w:cs="Arial"/>
              <w:color w:val="000000"/>
              <w:sz w:val="22"/>
              <w:szCs w:val="22"/>
              <w:lang w:val="en-US"/>
            </w:rPr>
            <w:t>Thailand</w:t>
          </w:r>
        </w:smartTag>
      </w:smartTag>
      <w:r w:rsidRPr="00447D92">
        <w:rPr>
          <w:rFonts w:ascii="Arial" w:hAnsi="Arial" w:cs="Arial"/>
          <w:color w:val="000000"/>
          <w:sz w:val="22"/>
          <w:szCs w:val="22"/>
          <w:lang w:val="en-US"/>
        </w:rPr>
        <w:t>. Asian Pac J Cancer Prev. 2014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;15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(16):6489-94.38. </w:t>
      </w:r>
    </w:p>
    <w:p w:rsidR="002E065F" w:rsidRPr="00FB677B" w:rsidRDefault="002E065F" w:rsidP="00447D92">
      <w:pPr>
        <w:pStyle w:val="PargrafodaLista"/>
        <w:numPr>
          <w:ilvl w:val="0"/>
          <w:numId w:val="8"/>
        </w:numPr>
        <w:ind w:left="284" w:right="-1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D35CC">
        <w:rPr>
          <w:rFonts w:ascii="Arial" w:hAnsi="Arial" w:cs="Arial"/>
          <w:color w:val="000000"/>
          <w:sz w:val="22"/>
          <w:szCs w:val="22"/>
        </w:rPr>
        <w:t>Magana-Contreras</w:t>
      </w:r>
      <w:proofErr w:type="spellEnd"/>
      <w:r w:rsidRPr="00CD35CC">
        <w:rPr>
          <w:rFonts w:ascii="Arial" w:hAnsi="Arial" w:cs="Arial"/>
          <w:color w:val="000000"/>
          <w:sz w:val="22"/>
          <w:szCs w:val="22"/>
        </w:rPr>
        <w:t xml:space="preserve"> M, 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</w:rPr>
        <w:t>Contreras-Paredes</w:t>
      </w:r>
      <w:proofErr w:type="spellEnd"/>
      <w:r w:rsidRPr="00CD35CC">
        <w:rPr>
          <w:rFonts w:ascii="Arial" w:hAnsi="Arial" w:cs="Arial"/>
          <w:color w:val="000000"/>
          <w:sz w:val="22"/>
          <w:szCs w:val="22"/>
        </w:rPr>
        <w:t xml:space="preserve"> A, 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</w:rPr>
        <w:t>Chavez-Blanco</w:t>
      </w:r>
      <w:proofErr w:type="spellEnd"/>
      <w:r w:rsidRPr="00CD35CC">
        <w:rPr>
          <w:rFonts w:ascii="Arial" w:hAnsi="Arial" w:cs="Arial"/>
          <w:color w:val="000000"/>
          <w:sz w:val="22"/>
          <w:szCs w:val="22"/>
        </w:rPr>
        <w:t xml:space="preserve"> A, 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</w:rPr>
        <w:t>Lizano</w:t>
      </w:r>
      <w:proofErr w:type="spellEnd"/>
      <w:r w:rsidRPr="00CD35CC">
        <w:rPr>
          <w:rFonts w:ascii="Arial" w:hAnsi="Arial" w:cs="Arial"/>
          <w:color w:val="000000"/>
          <w:sz w:val="22"/>
          <w:szCs w:val="22"/>
        </w:rPr>
        <w:t xml:space="preserve"> M, Cruz-Hernandez </w:t>
      </w:r>
      <w:proofErr w:type="spellStart"/>
      <w:proofErr w:type="gramStart"/>
      <w:r w:rsidRPr="00CD35CC">
        <w:rPr>
          <w:rFonts w:ascii="Arial" w:hAnsi="Arial" w:cs="Arial"/>
          <w:color w:val="000000"/>
          <w:sz w:val="22"/>
          <w:szCs w:val="22"/>
        </w:rPr>
        <w:t>YdeL</w:t>
      </w:r>
      <w:proofErr w:type="spellEnd"/>
      <w:proofErr w:type="gramEnd"/>
      <w:r w:rsidRPr="00CD35CC">
        <w:rPr>
          <w:rFonts w:ascii="Arial" w:hAnsi="Arial" w:cs="Arial"/>
          <w:color w:val="000000"/>
          <w:sz w:val="22"/>
          <w:szCs w:val="22"/>
        </w:rPr>
        <w:t xml:space="preserve">, Cruz-Hernandez </w:t>
      </w:r>
      <w:proofErr w:type="spellStart"/>
      <w:r w:rsidRPr="00CD35CC">
        <w:rPr>
          <w:rFonts w:ascii="Arial" w:hAnsi="Arial" w:cs="Arial"/>
          <w:color w:val="000000"/>
          <w:sz w:val="22"/>
          <w:szCs w:val="22"/>
        </w:rPr>
        <w:t>EdeL</w:t>
      </w:r>
      <w:proofErr w:type="spellEnd"/>
      <w:r w:rsidRPr="00CD35C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Prevalence of Sexually Transmitted Pathogens Associated With HPV Infection in Cervical Samples in a Mexican Population. J Med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Virol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2015; 87(12):2098-105.</w:t>
      </w:r>
    </w:p>
    <w:p w:rsidR="00FB677B" w:rsidRDefault="00FB677B" w:rsidP="00FB677B">
      <w:pPr>
        <w:pStyle w:val="PargrafodaLista"/>
        <w:ind w:right="-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B677B" w:rsidRPr="00447D92" w:rsidRDefault="00FB677B" w:rsidP="00FB677B">
      <w:pPr>
        <w:pStyle w:val="PargrafodaLista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right="-1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447D92">
        <w:rPr>
          <w:rFonts w:ascii="Arial" w:hAnsi="Arial" w:cs="Arial"/>
          <w:color w:val="000000"/>
          <w:sz w:val="22"/>
          <w:szCs w:val="22"/>
        </w:rPr>
        <w:lastRenderedPageBreak/>
        <w:t xml:space="preserve">Souza RP, Abreu ALP, Ferreira EC,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</w:rPr>
        <w:t>Rocha–Brischiliari</w:t>
      </w:r>
      <w:proofErr w:type="spellEnd"/>
      <w:r w:rsidRPr="00447D92">
        <w:rPr>
          <w:rFonts w:ascii="Arial" w:hAnsi="Arial" w:cs="Arial"/>
          <w:color w:val="000000"/>
          <w:sz w:val="22"/>
          <w:szCs w:val="22"/>
        </w:rPr>
        <w:t xml:space="preserve"> SC, Carvalho MD, </w:t>
      </w:r>
      <w:proofErr w:type="spellStart"/>
      <w:proofErr w:type="gramStart"/>
      <w:r w:rsidRPr="00447D92">
        <w:rPr>
          <w:rFonts w:ascii="Arial" w:hAnsi="Arial" w:cs="Arial"/>
          <w:color w:val="000000"/>
          <w:sz w:val="22"/>
          <w:szCs w:val="22"/>
        </w:rPr>
        <w:t>et</w:t>
      </w:r>
      <w:proofErr w:type="spellEnd"/>
      <w:proofErr w:type="gramEnd"/>
      <w:r w:rsidRPr="00447D92">
        <w:rPr>
          <w:rFonts w:ascii="Arial" w:hAnsi="Arial" w:cs="Arial"/>
          <w:color w:val="000000"/>
          <w:sz w:val="22"/>
          <w:szCs w:val="22"/>
        </w:rPr>
        <w:t xml:space="preserve"> al. </w:t>
      </w: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Simultaneous detection of seven sexually transmitted pathogens in human immunodeficiency virus–infected Brazilian women by multiplex polymerase chain reaction. Am J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Trop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Med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Hyg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2013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;89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(6):1199–202.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Arbyn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M,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Roelens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J,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Simoens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C,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Buntinx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F,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Paraskevaidis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E, Martin-Hirsch PP, et al. Human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papillomavirus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 testing  versus  repeat  cytology  for  triage  of  minor  cytological  cervical  lesions. Cochrane Database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Syst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Rev. 2013 Mar 28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;3:CD008054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. doi:10.1002/14651858.CD008054.pub2.39. 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Arbyn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M,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Verdoodt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F,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Snijders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PJ,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Verhoef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VM,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Suonio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E,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Dillner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L, et al. Accuracy of human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papillomavirus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testing on self-collected versus clinician-collected samples: a meta-analysis. Lancet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Oncol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. 2014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;15:172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–83.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Chen L, Watanabe K,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Haruyama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T, Kobayashi N. Simple and rapid human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papillomavirus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genotyping method by restriction fragment length polymorphism analysis with two restriction enzymes. J Med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Virol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2013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;85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(7):1229–34. </w:t>
      </w:r>
    </w:p>
    <w:p w:rsidR="002E065F" w:rsidRPr="00D9075F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>Monsonego</w:t>
      </w:r>
      <w:proofErr w:type="spellEnd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 xml:space="preserve"> J, Cox JT, </w:t>
      </w:r>
      <w:proofErr w:type="spellStart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>Behrens</w:t>
      </w:r>
      <w:proofErr w:type="spellEnd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 xml:space="preserve"> C, </w:t>
      </w:r>
      <w:proofErr w:type="spellStart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>Sandri</w:t>
      </w:r>
      <w:proofErr w:type="spellEnd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 xml:space="preserve"> M, Franco EL, </w:t>
      </w:r>
      <w:proofErr w:type="spellStart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>Yap</w:t>
      </w:r>
      <w:proofErr w:type="spellEnd"/>
      <w:r w:rsidRPr="001F6944">
        <w:rPr>
          <w:rFonts w:ascii="Arial" w:hAnsi="Arial" w:cs="Arial"/>
          <w:color w:val="000000"/>
          <w:sz w:val="22"/>
          <w:szCs w:val="22"/>
          <w:lang w:val="es-ES_tradnl"/>
        </w:rPr>
        <w:t xml:space="preserve"> PS, et al. </w:t>
      </w: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Prevalence of high-risk human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papillomavirus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genotypes and associated risk of cervical precancerous lesions in a large </w:t>
      </w:r>
      <w:smartTag w:uri="urn:schemas-microsoft-com:office:smarttags" w:element="country-region">
        <w:smartTag w:uri="urn:schemas-microsoft-com:office:smarttags" w:element="place">
          <w:r w:rsidRPr="00447D92">
            <w:rPr>
              <w:rFonts w:ascii="Arial" w:hAnsi="Arial" w:cs="Arial"/>
              <w:color w:val="000000"/>
              <w:sz w:val="22"/>
              <w:szCs w:val="22"/>
              <w:lang w:val="en-US"/>
            </w:rPr>
            <w:t>U.S.</w:t>
          </w:r>
        </w:smartTag>
      </w:smartTag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screening population: Data from the ATHENA trial.  </w:t>
      </w:r>
      <w:proofErr w:type="spellStart"/>
      <w:r w:rsidRPr="00D9075F">
        <w:rPr>
          <w:rFonts w:ascii="Arial" w:hAnsi="Arial" w:cs="Arial"/>
          <w:color w:val="000000"/>
          <w:sz w:val="22"/>
          <w:szCs w:val="22"/>
          <w:lang w:val="en-US"/>
        </w:rPr>
        <w:t>Gynecol</w:t>
      </w:r>
      <w:proofErr w:type="spellEnd"/>
      <w:r w:rsidRPr="00D9075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075F">
        <w:rPr>
          <w:rFonts w:ascii="Arial" w:hAnsi="Arial" w:cs="Arial"/>
          <w:color w:val="000000"/>
          <w:sz w:val="22"/>
          <w:szCs w:val="22"/>
          <w:lang w:val="en-US"/>
        </w:rPr>
        <w:t>Oncol</w:t>
      </w:r>
      <w:proofErr w:type="spellEnd"/>
      <w:r w:rsidRPr="00D9075F">
        <w:rPr>
          <w:rFonts w:ascii="Arial" w:hAnsi="Arial" w:cs="Arial"/>
          <w:color w:val="000000"/>
          <w:sz w:val="22"/>
          <w:szCs w:val="22"/>
          <w:lang w:val="en-US"/>
        </w:rPr>
        <w:t xml:space="preserve"> 2015</w:t>
      </w:r>
      <w:proofErr w:type="gramStart"/>
      <w:r w:rsidRPr="00D9075F">
        <w:rPr>
          <w:rFonts w:ascii="Arial" w:hAnsi="Arial" w:cs="Arial"/>
          <w:color w:val="000000"/>
          <w:sz w:val="22"/>
          <w:szCs w:val="22"/>
          <w:lang w:val="en-US"/>
        </w:rPr>
        <w:t>;137</w:t>
      </w:r>
      <w:proofErr w:type="gramEnd"/>
      <w:r w:rsidRPr="00D9075F">
        <w:rPr>
          <w:rFonts w:ascii="Arial" w:hAnsi="Arial" w:cs="Arial"/>
          <w:color w:val="000000"/>
          <w:sz w:val="22"/>
          <w:szCs w:val="22"/>
          <w:lang w:val="en-US"/>
        </w:rPr>
        <w:t xml:space="preserve">(1):47–54. 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Lee WC, Lee SY, Koo YJ, Kim TJ,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Hur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SY, Hong SR, et al. Establishment of a Korea HPV cohort study. J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Gynecol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Oncol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2013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;24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(1):59–65. 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Meloni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A,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Pilia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R,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Campagna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M,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Usai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A,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Masia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G,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Caredda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V. Prevalence and molecular epidemiology of human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papillomavirus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Infection in Italian women with cervical cytological abnormalities. Journal of Public Health Research 2014;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vol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3:157. </w:t>
      </w:r>
    </w:p>
    <w:p w:rsidR="002E065F" w:rsidRPr="00447D92" w:rsidRDefault="00E222E0" w:rsidP="00447D92">
      <w:pPr>
        <w:pStyle w:val="PargrafodaLista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Carvalho MGD, </w:t>
        </w:r>
      </w:hyperlink>
      <w:hyperlink r:id="rId7" w:history="1">
        <w:proofErr w:type="spell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Gimenes</w:t>
        </w:r>
        <w:proofErr w:type="spellEnd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F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proofErr w:type="spell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Pennacchi</w:t>
        </w:r>
        <w:proofErr w:type="spellEnd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PC, </w:t>
        </w:r>
      </w:hyperlink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</w:rPr>
        <w:t>Faiao-Flores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F, Zeferino L, </w:t>
      </w:r>
      <w:hyperlink r:id="rId9" w:history="1">
        <w:proofErr w:type="spell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Derchain</w:t>
        </w:r>
        <w:proofErr w:type="spellEnd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SM, </w:t>
        </w:r>
      </w:hyperlink>
      <w:hyperlink r:id="rId10" w:history="1"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Teixeira JC, 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Costa MC, Zonta M, </w:t>
      </w:r>
      <w:hyperlink r:id="rId11" w:history="1">
        <w:proofErr w:type="spell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Termini</w:t>
        </w:r>
        <w:proofErr w:type="spellEnd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L, </w:t>
        </w:r>
      </w:hyperlink>
      <w:hyperlink r:id="rId12" w:history="1">
        <w:proofErr w:type="spell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Boccardo</w:t>
        </w:r>
        <w:proofErr w:type="spellEnd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E, </w:t>
        </w:r>
      </w:hyperlink>
      <w:hyperlink r:id="rId13" w:history="1">
        <w:proofErr w:type="spell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Longatto-Filho</w:t>
        </w:r>
        <w:proofErr w:type="spellEnd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 A, </w:t>
        </w:r>
      </w:hyperlink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</w:rPr>
        <w:t>Consolaro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MEL, </w:t>
      </w:r>
      <w:hyperlink r:id="rId14" w:history="1"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Villa LL, </w:t>
        </w:r>
      </w:hyperlink>
      <w:hyperlink r:id="rId15" w:history="1"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 xml:space="preserve">Maria-Engler </w:t>
        </w:r>
        <w:proofErr w:type="gramStart"/>
        <w:r w:rsidR="002E065F" w:rsidRPr="00447D92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SS.</w:t>
        </w:r>
        <w:proofErr w:type="gramEnd"/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</w:t>
      </w:r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MMP-9/RECK imbalance: a mechanism associated with high-grade cervical lesions and genital infection by Human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>Papillomavirus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(HPV) and Chlamydia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>trachomatis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</w:rPr>
        <w:t>Cancer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</w:rPr>
        <w:t>Epid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</w:rPr>
        <w:t>Biom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Prev. 2015; (24): 1539. </w:t>
      </w:r>
    </w:p>
    <w:p w:rsidR="002E065F" w:rsidRPr="00D9075F" w:rsidRDefault="00E222E0" w:rsidP="00447D92">
      <w:pPr>
        <w:pStyle w:val="PargrafodaLista"/>
        <w:numPr>
          <w:ilvl w:val="0"/>
          <w:numId w:val="8"/>
        </w:numPr>
        <w:ind w:left="284" w:right="-1" w:hanging="284"/>
        <w:jc w:val="both"/>
        <w:rPr>
          <w:rFonts w:ascii="Arial" w:hAnsi="Arial" w:cs="Arial"/>
          <w:sz w:val="22"/>
          <w:szCs w:val="22"/>
          <w:lang w:val="en-US"/>
        </w:rPr>
      </w:pPr>
      <w:hyperlink r:id="rId16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</w:rPr>
          <w:t>Carrillo-García</w:t>
        </w:r>
        <w:proofErr w:type="spellEnd"/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A, </w:t>
      </w:r>
      <w:hyperlink r:id="rId17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</w:rPr>
          <w:t>Ponce-de-León-Rosales</w:t>
        </w:r>
        <w:proofErr w:type="spellEnd"/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S, </w:t>
      </w:r>
      <w:hyperlink r:id="rId18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</w:rPr>
          <w:t>Cantú-de-León</w:t>
        </w:r>
        <w:proofErr w:type="spellEnd"/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D, </w:t>
      </w:r>
      <w:hyperlink r:id="rId19">
        <w:r w:rsidR="002E065F" w:rsidRPr="00447D92"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</w:rPr>
          <w:t>Fragoso-Ontiveros</w:t>
        </w:r>
        <w:proofErr w:type="spellEnd"/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V, </w:t>
      </w:r>
      <w:hyperlink r:id="rId20">
        <w:r w:rsidR="002E065F" w:rsidRPr="00447D92">
          <w:rPr>
            <w:rFonts w:ascii="Arial" w:hAnsi="Arial" w:cs="Arial"/>
            <w:color w:val="000000"/>
            <w:sz w:val="22"/>
            <w:szCs w:val="22"/>
          </w:rPr>
          <w:t xml:space="preserve"> Martínez-Ramírez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I, </w:t>
      </w:r>
      <w:hyperlink r:id="rId21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</w:rPr>
          <w:t>Orozco-Colín</w:t>
        </w:r>
        <w:proofErr w:type="spellEnd"/>
      </w:hyperlink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A, </w:t>
      </w:r>
      <w:proofErr w:type="spellStart"/>
      <w:proofErr w:type="gramStart"/>
      <w:r w:rsidR="002E065F" w:rsidRPr="00447D92">
        <w:rPr>
          <w:rFonts w:ascii="Arial" w:hAnsi="Arial" w:cs="Arial"/>
          <w:color w:val="000000"/>
          <w:sz w:val="22"/>
          <w:szCs w:val="22"/>
        </w:rPr>
        <w:t>et</w:t>
      </w:r>
      <w:proofErr w:type="spellEnd"/>
      <w:proofErr w:type="gramEnd"/>
      <w:r w:rsidR="002E065F" w:rsidRPr="00447D92">
        <w:rPr>
          <w:rFonts w:ascii="Arial" w:hAnsi="Arial" w:cs="Arial"/>
          <w:color w:val="000000"/>
          <w:sz w:val="22"/>
          <w:szCs w:val="22"/>
        </w:rPr>
        <w:t xml:space="preserve"> al. </w:t>
      </w:r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Impact of human </w:t>
      </w:r>
      <w:proofErr w:type="spellStart"/>
      <w:r w:rsidR="002E065F" w:rsidRPr="00447D92">
        <w:rPr>
          <w:rFonts w:ascii="Arial" w:hAnsi="Arial" w:cs="Arial"/>
          <w:i/>
          <w:color w:val="000000"/>
          <w:sz w:val="22"/>
          <w:szCs w:val="22"/>
          <w:lang w:val="en-US"/>
        </w:rPr>
        <w:t>papillomavirus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>coinfections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on the risk of high-grade </w:t>
      </w:r>
      <w:proofErr w:type="spellStart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>squamous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intraepithelial lesion and cervical cancer. </w:t>
      </w:r>
      <w:proofErr w:type="spellStart"/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>Gynecol</w:t>
      </w:r>
      <w:proofErr w:type="spellEnd"/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>Oncol</w:t>
      </w:r>
      <w:proofErr w:type="spellEnd"/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 xml:space="preserve"> 2014</w:t>
      </w:r>
      <w:proofErr w:type="gramStart"/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>;</w:t>
      </w:r>
      <w:proofErr w:type="gramEnd"/>
      <w:r>
        <w:fldChar w:fldCharType="begin"/>
      </w:r>
      <w:r>
        <w:instrText>HYPERLINK "http://volume/issue" \h</w:instrText>
      </w:r>
      <w:r>
        <w:fldChar w:fldCharType="separate"/>
      </w:r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>134(3):</w:t>
      </w:r>
      <w:r>
        <w:fldChar w:fldCharType="end"/>
      </w:r>
      <w:r w:rsidR="002E065F" w:rsidRPr="00D9075F">
        <w:rPr>
          <w:rFonts w:ascii="Arial" w:hAnsi="Arial" w:cs="Arial"/>
          <w:color w:val="000000"/>
          <w:sz w:val="22"/>
          <w:szCs w:val="22"/>
          <w:lang w:val="en-US"/>
        </w:rPr>
        <w:t>534-9.</w:t>
      </w:r>
    </w:p>
    <w:p w:rsidR="002E065F" w:rsidRPr="00447D92" w:rsidRDefault="00E222E0" w:rsidP="00447D92">
      <w:pPr>
        <w:pStyle w:val="PargrafodaLista"/>
        <w:numPr>
          <w:ilvl w:val="0"/>
          <w:numId w:val="8"/>
        </w:numPr>
        <w:ind w:left="284" w:right="-1" w:hanging="284"/>
        <w:jc w:val="both"/>
        <w:rPr>
          <w:rFonts w:ascii="Arial" w:hAnsi="Arial" w:cs="Arial"/>
          <w:color w:val="000000"/>
          <w:sz w:val="22"/>
          <w:szCs w:val="22"/>
          <w:highlight w:val="white"/>
          <w:lang w:val="en-US"/>
        </w:rPr>
      </w:pPr>
      <w:hyperlink r:id="rId22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Lazenby</w:t>
        </w:r>
        <w:proofErr w:type="spellEnd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 xml:space="preserve"> GB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, </w:t>
      </w:r>
      <w:hyperlink r:id="rId23"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Taylor PT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, </w:t>
      </w:r>
      <w:hyperlink r:id="rId24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Badman</w:t>
        </w:r>
        <w:proofErr w:type="spellEnd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 xml:space="preserve"> BS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, </w:t>
      </w:r>
      <w:hyperlink r:id="rId25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McHaki</w:t>
        </w:r>
        <w:proofErr w:type="spellEnd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 xml:space="preserve"> E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, </w:t>
      </w:r>
      <w:hyperlink r:id="rId26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Korte</w:t>
        </w:r>
        <w:proofErr w:type="spellEnd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 xml:space="preserve"> JE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, </w:t>
      </w:r>
      <w:hyperlink r:id="rId27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Soper</w:t>
        </w:r>
        <w:proofErr w:type="spellEnd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 xml:space="preserve"> DE</w:t>
        </w:r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>, et al.</w:t>
      </w:r>
      <w:r w:rsidR="002E065F"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An association between </w:t>
      </w:r>
      <w:proofErr w:type="spellStart"/>
      <w:r w:rsidR="002E065F" w:rsidRPr="00447D92">
        <w:rPr>
          <w:rFonts w:ascii="Arial" w:hAnsi="Arial" w:cs="Arial"/>
          <w:i/>
          <w:color w:val="000000"/>
          <w:sz w:val="22"/>
          <w:szCs w:val="22"/>
          <w:highlight w:val="white"/>
          <w:lang w:val="en-US"/>
        </w:rPr>
        <w:t>Trichomonas</w:t>
      </w:r>
      <w:proofErr w:type="spellEnd"/>
      <w:r w:rsidR="002E065F" w:rsidRPr="00447D92">
        <w:rPr>
          <w:rFonts w:ascii="Arial" w:hAnsi="Arial" w:cs="Arial"/>
          <w:i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 w:rsidR="002E065F" w:rsidRPr="00447D92">
        <w:rPr>
          <w:rFonts w:ascii="Arial" w:hAnsi="Arial" w:cs="Arial"/>
          <w:i/>
          <w:color w:val="000000"/>
          <w:sz w:val="22"/>
          <w:szCs w:val="22"/>
          <w:highlight w:val="white"/>
          <w:lang w:val="en-US"/>
        </w:rPr>
        <w:t>vaginalis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 and high-risk human </w:t>
      </w:r>
      <w:proofErr w:type="spellStart"/>
      <w:r w:rsidR="002E065F" w:rsidRPr="00447D92">
        <w:rPr>
          <w:rFonts w:ascii="Arial" w:hAnsi="Arial" w:cs="Arial"/>
          <w:i/>
          <w:color w:val="000000"/>
          <w:sz w:val="22"/>
          <w:szCs w:val="22"/>
          <w:highlight w:val="white"/>
          <w:lang w:val="en-US"/>
        </w:rPr>
        <w:t>papillomavirus</w:t>
      </w:r>
      <w:proofErr w:type="spellEnd"/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 in rural Tanzanian women undergoing cervical cancer screening. </w:t>
      </w:r>
      <w:hyperlink r:id="rId28"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Clin</w:t>
        </w:r>
        <w:proofErr w:type="spellEnd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 xml:space="preserve"> </w:t>
        </w:r>
        <w:proofErr w:type="spellStart"/>
        <w:r w:rsidR="002E065F" w:rsidRPr="00447D92">
          <w:rPr>
            <w:rFonts w:ascii="Arial" w:hAnsi="Arial" w:cs="Arial"/>
            <w:color w:val="000000"/>
            <w:sz w:val="22"/>
            <w:szCs w:val="22"/>
            <w:highlight w:val="white"/>
            <w:lang w:val="en-US"/>
          </w:rPr>
          <w:t>Ther</w:t>
        </w:r>
        <w:proofErr w:type="spellEnd"/>
      </w:hyperlink>
      <w:r w:rsidR="002E065F" w:rsidRPr="00447D92">
        <w:rPr>
          <w:rFonts w:ascii="Arial" w:hAnsi="Arial" w:cs="Arial"/>
          <w:color w:val="000000"/>
          <w:sz w:val="22"/>
          <w:szCs w:val="22"/>
          <w:highlight w:val="white"/>
          <w:lang w:val="en-US"/>
        </w:rPr>
        <w:t xml:space="preserve"> 2014; 36(1):38-45.</w:t>
      </w:r>
    </w:p>
    <w:p w:rsidR="002E065F" w:rsidRPr="00447D92" w:rsidRDefault="002E065F" w:rsidP="00447D92">
      <w:pPr>
        <w:pStyle w:val="PargrafodaLista"/>
        <w:numPr>
          <w:ilvl w:val="0"/>
          <w:numId w:val="8"/>
        </w:numPr>
        <w:ind w:left="284" w:right="-1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Kalyani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Raju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. Virus and Cervical Cancer: Role and implication: A review. Biomed Res </w:t>
      </w:r>
      <w:proofErr w:type="spell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Ther</w:t>
      </w:r>
      <w:proofErr w:type="spell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 xml:space="preserve"> 2015</w:t>
      </w:r>
      <w:proofErr w:type="gramStart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;2</w:t>
      </w:r>
      <w:proofErr w:type="gramEnd"/>
      <w:r w:rsidRPr="00447D92">
        <w:rPr>
          <w:rFonts w:ascii="Arial" w:hAnsi="Arial" w:cs="Arial"/>
          <w:color w:val="000000"/>
          <w:sz w:val="22"/>
          <w:szCs w:val="22"/>
          <w:lang w:val="en-US"/>
        </w:rPr>
        <w:t>(3):220-230.</w:t>
      </w:r>
    </w:p>
    <w:p w:rsidR="002E065F" w:rsidRDefault="002E065F" w:rsidP="00447D92">
      <w:pPr>
        <w:pStyle w:val="PargrafodaLista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E065F" w:rsidRDefault="002E065F" w:rsidP="00447D92">
      <w:pPr>
        <w:pStyle w:val="PargrafodaLista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FB677B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FB677B" w:rsidRDefault="00FB677B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2E065F" w:rsidRPr="002B716B" w:rsidRDefault="002E065F" w:rsidP="00CD35CC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E065F" w:rsidRPr="002B716B" w:rsidTr="00DD0D59">
        <w:trPr>
          <w:cantSplit/>
        </w:trPr>
        <w:tc>
          <w:tcPr>
            <w:tcW w:w="8644" w:type="dxa"/>
            <w:tcBorders>
              <w:top w:val="double" w:sz="4" w:space="0" w:color="auto"/>
            </w:tcBorders>
          </w:tcPr>
          <w:p w:rsidR="002E065F" w:rsidRPr="002B716B" w:rsidRDefault="002E065F" w:rsidP="00DD0D5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B716B">
              <w:rPr>
                <w:rFonts w:ascii="Arial" w:hAnsi="Arial" w:cs="Arial"/>
              </w:rPr>
              <w:t>1ª</w:t>
            </w:r>
          </w:p>
        </w:tc>
      </w:tr>
      <w:tr w:rsidR="002E065F" w:rsidRPr="00606396" w:rsidTr="00DD0D59">
        <w:trPr>
          <w:cantSplit/>
        </w:trPr>
        <w:tc>
          <w:tcPr>
            <w:tcW w:w="8644" w:type="dxa"/>
          </w:tcPr>
          <w:p w:rsidR="002E065F" w:rsidRPr="00606396" w:rsidRDefault="002E065F" w:rsidP="00DD0D5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6396">
              <w:rPr>
                <w:rFonts w:ascii="Arial" w:hAnsi="Arial" w:cs="Arial"/>
                <w:sz w:val="22"/>
                <w:szCs w:val="22"/>
              </w:rPr>
              <w:t>DETALHAR ABAIXO O PROCESSO DE VERIFICAÇÕES DE APRENDIZAGEM (PROVAS, AVALIAÇÃO CONTÍNUA, SEMINÁRIOS, TRABALHOS, ETC)</w:t>
            </w:r>
          </w:p>
        </w:tc>
      </w:tr>
      <w:tr w:rsidR="002E065F" w:rsidRPr="002B716B" w:rsidTr="00DD0D59">
        <w:trPr>
          <w:cantSplit/>
        </w:trPr>
        <w:tc>
          <w:tcPr>
            <w:tcW w:w="8644" w:type="dxa"/>
            <w:tcBorders>
              <w:bottom w:val="double" w:sz="4" w:space="0" w:color="auto"/>
            </w:tcBorders>
          </w:tcPr>
          <w:p w:rsidR="002E065F" w:rsidRPr="002A0F7B" w:rsidRDefault="002E065F" w:rsidP="00DD0D59">
            <w:pPr>
              <w:spacing w:before="120"/>
              <w:jc w:val="both"/>
              <w:rPr>
                <w:rFonts w:ascii="Arial" w:hAnsi="Arial" w:cs="Arial"/>
              </w:rPr>
            </w:pPr>
            <w:r w:rsidRPr="002A0F7B">
              <w:rPr>
                <w:rFonts w:ascii="Arial" w:hAnsi="Arial" w:cs="Arial"/>
                <w:sz w:val="22"/>
                <w:szCs w:val="22"/>
              </w:rPr>
              <w:t>1ª. Será avaliada a apresentação de temas valendo de 0,0(zero) a 5,0 (cinco) e a participação do aluno nas discussões do assunto valendo de 0,0 (zero) a 5,0 (cinco).</w:t>
            </w:r>
          </w:p>
          <w:p w:rsidR="002E065F" w:rsidRDefault="002E065F" w:rsidP="00DD0D59">
            <w:pPr>
              <w:rPr>
                <w:rFonts w:ascii="Arial" w:hAnsi="Arial" w:cs="Arial"/>
              </w:rPr>
            </w:pPr>
          </w:p>
          <w:p w:rsidR="002E065F" w:rsidRPr="00FB677B" w:rsidRDefault="002E065F" w:rsidP="00DD0D59">
            <w:pPr>
              <w:rPr>
                <w:rFonts w:ascii="Arial" w:hAnsi="Arial" w:cs="Arial"/>
                <w:sz w:val="22"/>
                <w:szCs w:val="22"/>
              </w:rPr>
            </w:pPr>
            <w:r w:rsidRPr="00FB677B">
              <w:rPr>
                <w:rFonts w:ascii="Arial" w:hAnsi="Arial" w:cs="Arial"/>
                <w:sz w:val="22"/>
                <w:szCs w:val="22"/>
              </w:rPr>
              <w:t>A nota final será o somatório das duas avaliações.</w:t>
            </w:r>
          </w:p>
        </w:tc>
      </w:tr>
    </w:tbl>
    <w:p w:rsidR="002E065F" w:rsidRPr="00447D92" w:rsidRDefault="002E065F" w:rsidP="00447D92">
      <w:pPr>
        <w:pStyle w:val="PargrafodaLista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E065F" w:rsidRPr="00447D92" w:rsidSect="006F75F8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529"/>
    <w:multiLevelType w:val="hybridMultilevel"/>
    <w:tmpl w:val="D1042B3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414620"/>
    <w:multiLevelType w:val="hybridMultilevel"/>
    <w:tmpl w:val="03E602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6F1D46"/>
    <w:multiLevelType w:val="hybridMultilevel"/>
    <w:tmpl w:val="64406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6B5402"/>
    <w:multiLevelType w:val="hybridMultilevel"/>
    <w:tmpl w:val="77B6F74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F0649"/>
    <w:multiLevelType w:val="hybridMultilevel"/>
    <w:tmpl w:val="B51C9EB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11A11"/>
    <w:multiLevelType w:val="hybridMultilevel"/>
    <w:tmpl w:val="E11A47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1174A8"/>
    <w:multiLevelType w:val="hybridMultilevel"/>
    <w:tmpl w:val="29DC4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D0F33"/>
    <w:multiLevelType w:val="hybridMultilevel"/>
    <w:tmpl w:val="9C30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41A65"/>
    <w:multiLevelType w:val="hybridMultilevel"/>
    <w:tmpl w:val="9126EB0C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63DA4"/>
    <w:rsid w:val="00035887"/>
    <w:rsid w:val="00051D8E"/>
    <w:rsid w:val="00076612"/>
    <w:rsid w:val="000E5663"/>
    <w:rsid w:val="00105FDB"/>
    <w:rsid w:val="00106940"/>
    <w:rsid w:val="001966FE"/>
    <w:rsid w:val="001A5B81"/>
    <w:rsid w:val="001F6944"/>
    <w:rsid w:val="00227FE5"/>
    <w:rsid w:val="0023618F"/>
    <w:rsid w:val="002A0F7B"/>
    <w:rsid w:val="002B716B"/>
    <w:rsid w:val="002C053A"/>
    <w:rsid w:val="002D216A"/>
    <w:rsid w:val="002E065F"/>
    <w:rsid w:val="002F532B"/>
    <w:rsid w:val="00315713"/>
    <w:rsid w:val="003402E6"/>
    <w:rsid w:val="00340C05"/>
    <w:rsid w:val="0037667A"/>
    <w:rsid w:val="00377901"/>
    <w:rsid w:val="00390A17"/>
    <w:rsid w:val="003C5118"/>
    <w:rsid w:val="00406937"/>
    <w:rsid w:val="00415A0E"/>
    <w:rsid w:val="00433725"/>
    <w:rsid w:val="00447D92"/>
    <w:rsid w:val="00461AF3"/>
    <w:rsid w:val="004F1B2F"/>
    <w:rsid w:val="00537F87"/>
    <w:rsid w:val="0059303E"/>
    <w:rsid w:val="005A0F50"/>
    <w:rsid w:val="00606396"/>
    <w:rsid w:val="006127EB"/>
    <w:rsid w:val="006A0DEF"/>
    <w:rsid w:val="006F1A87"/>
    <w:rsid w:val="006F75F8"/>
    <w:rsid w:val="00700EC1"/>
    <w:rsid w:val="007114B3"/>
    <w:rsid w:val="007351A6"/>
    <w:rsid w:val="007729CE"/>
    <w:rsid w:val="007C1AC0"/>
    <w:rsid w:val="00831329"/>
    <w:rsid w:val="00924A55"/>
    <w:rsid w:val="0093175B"/>
    <w:rsid w:val="00A06E7E"/>
    <w:rsid w:val="00A12182"/>
    <w:rsid w:val="00A20BE6"/>
    <w:rsid w:val="00B2788A"/>
    <w:rsid w:val="00B73EA7"/>
    <w:rsid w:val="00B91D0D"/>
    <w:rsid w:val="00BC7D94"/>
    <w:rsid w:val="00C03002"/>
    <w:rsid w:val="00C03877"/>
    <w:rsid w:val="00C32B86"/>
    <w:rsid w:val="00C366A8"/>
    <w:rsid w:val="00C4000F"/>
    <w:rsid w:val="00C87313"/>
    <w:rsid w:val="00CD35CC"/>
    <w:rsid w:val="00D31DF5"/>
    <w:rsid w:val="00D339DD"/>
    <w:rsid w:val="00D44F04"/>
    <w:rsid w:val="00D63DA4"/>
    <w:rsid w:val="00D9075F"/>
    <w:rsid w:val="00DD0D59"/>
    <w:rsid w:val="00E17621"/>
    <w:rsid w:val="00E222E0"/>
    <w:rsid w:val="00E52D08"/>
    <w:rsid w:val="00E86268"/>
    <w:rsid w:val="00EA4C69"/>
    <w:rsid w:val="00EC023D"/>
    <w:rsid w:val="00F223FD"/>
    <w:rsid w:val="00F444C3"/>
    <w:rsid w:val="00F639A8"/>
    <w:rsid w:val="00FB677B"/>
    <w:rsid w:val="00FD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A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D63DA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D63D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222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222E0"/>
    <w:rPr>
      <w:rFonts w:ascii="Calibri" w:hAnsi="Calibri" w:cs="Times New Roman"/>
      <w:b/>
      <w:bCs/>
      <w:sz w:val="28"/>
      <w:szCs w:val="28"/>
    </w:rPr>
  </w:style>
  <w:style w:type="paragraph" w:customStyle="1" w:styleId="rprtbody">
    <w:name w:val="rprtbody"/>
    <w:basedOn w:val="Normal"/>
    <w:uiPriority w:val="99"/>
    <w:rsid w:val="00D63DA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99"/>
    <w:qFormat/>
    <w:rsid w:val="00315713"/>
    <w:pPr>
      <w:ind w:left="720"/>
      <w:contextualSpacing/>
    </w:pPr>
  </w:style>
  <w:style w:type="character" w:styleId="Hyperlink">
    <w:name w:val="Hyperlink"/>
    <w:basedOn w:val="Fontepargpadro"/>
    <w:uiPriority w:val="99"/>
    <w:rsid w:val="00447D9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0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161035267948191" TargetMode="External"/><Relationship Id="rId13" Type="http://schemas.openxmlformats.org/officeDocument/2006/relationships/hyperlink" Target="http://lattes.cnpq.br/5280840918500259" TargetMode="External"/><Relationship Id="rId18" Type="http://schemas.openxmlformats.org/officeDocument/2006/relationships/hyperlink" Target="http://www.sciencedirect.com/science/article/pii/S0090825814010580" TargetMode="External"/><Relationship Id="rId26" Type="http://schemas.openxmlformats.org/officeDocument/2006/relationships/hyperlink" Target="http://www.ncbi.nlm.nih.gov/pubmed/?term=Korte%20JE%5BAuthor%5D&amp;cauthor=true&amp;cauthor_uid=244177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/science/article/pii/S0090825814010580" TargetMode="External"/><Relationship Id="rId7" Type="http://schemas.openxmlformats.org/officeDocument/2006/relationships/hyperlink" Target="http://lattes.cnpq.br/0696325730601855" TargetMode="External"/><Relationship Id="rId12" Type="http://schemas.openxmlformats.org/officeDocument/2006/relationships/hyperlink" Target="http://lattes.cnpq.br/3001234947123915" TargetMode="External"/><Relationship Id="rId17" Type="http://schemas.openxmlformats.org/officeDocument/2006/relationships/hyperlink" Target="http://www.sciencedirect.com/science/article/pii/S0090825814010580" TargetMode="External"/><Relationship Id="rId25" Type="http://schemas.openxmlformats.org/officeDocument/2006/relationships/hyperlink" Target="http://www.ncbi.nlm.nih.gov/pubmed/?term=McHaki%20E%5BAuthor%5D&amp;cauthor=true&amp;cauthor_uid=244177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090825814010580" TargetMode="External"/><Relationship Id="rId20" Type="http://schemas.openxmlformats.org/officeDocument/2006/relationships/hyperlink" Target="http://www.sciencedirect.com/science/article/pii/S009082581401058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attes.cnpq.br/3187267323252755" TargetMode="External"/><Relationship Id="rId11" Type="http://schemas.openxmlformats.org/officeDocument/2006/relationships/hyperlink" Target="http://lattes.cnpq.br/2482406515907430" TargetMode="External"/><Relationship Id="rId24" Type="http://schemas.openxmlformats.org/officeDocument/2006/relationships/hyperlink" Target="http://www.ncbi.nlm.nih.gov/pubmed/?term=Badman%20BS%5BAuthor%5D&amp;cauthor=true&amp;cauthor_uid=24417784" TargetMode="External"/><Relationship Id="rId5" Type="http://schemas.openxmlformats.org/officeDocument/2006/relationships/hyperlink" Target="http://www.inca.gov.br/wcm/dncc/2015/por-tipos.asp" TargetMode="External"/><Relationship Id="rId15" Type="http://schemas.openxmlformats.org/officeDocument/2006/relationships/hyperlink" Target="http://lattes.cnpq.br/5532816581852742" TargetMode="External"/><Relationship Id="rId23" Type="http://schemas.openxmlformats.org/officeDocument/2006/relationships/hyperlink" Target="http://www.ncbi.nlm.nih.gov/pubmed/?term=Taylor%20PT%5BAuthor%5D&amp;cauthor=true&amp;cauthor_uid=24417784" TargetMode="External"/><Relationship Id="rId28" Type="http://schemas.openxmlformats.org/officeDocument/2006/relationships/hyperlink" Target="http://www.ncbi.nlm.nih.gov/pubmed/24417784" TargetMode="External"/><Relationship Id="rId10" Type="http://schemas.openxmlformats.org/officeDocument/2006/relationships/hyperlink" Target="http://lattes.cnpq.br/2416276722663460" TargetMode="External"/><Relationship Id="rId19" Type="http://schemas.openxmlformats.org/officeDocument/2006/relationships/hyperlink" Target="http://www.sciencedirect.com/science/article/pii/S0090825814010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2585985788279780" TargetMode="External"/><Relationship Id="rId14" Type="http://schemas.openxmlformats.org/officeDocument/2006/relationships/hyperlink" Target="http://lattes.cnpq.br/8379358682656422" TargetMode="External"/><Relationship Id="rId22" Type="http://schemas.openxmlformats.org/officeDocument/2006/relationships/hyperlink" Target="http://www.ncbi.nlm.nih.gov/pubmed/?term=Lazenby%20GB%5BAuthor%5D&amp;cauthor=true&amp;cauthor_uid=24417784" TargetMode="External"/><Relationship Id="rId27" Type="http://schemas.openxmlformats.org/officeDocument/2006/relationships/hyperlink" Target="http://www.ncbi.nlm.nih.gov/pubmed/?term=Soper%20DE%5BAuthor%5D&amp;cauthor=true&amp;cauthor_uid=2441778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6196</Characters>
  <Application>Microsoft Office Word</Application>
  <DocSecurity>0</DocSecurity>
  <Lines>51</Lines>
  <Paragraphs>14</Paragraphs>
  <ScaleCrop>false</ScaleCrop>
  <Company>uem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2019-06-14T19:00:00Z</dcterms:created>
  <dcterms:modified xsi:type="dcterms:W3CDTF">2019-06-14T19:00:00Z</dcterms:modified>
</cp:coreProperties>
</file>