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19" w:rsidRPr="00001C49" w:rsidRDefault="001E5219" w:rsidP="00001C49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>UNIVERSIDADE ESTADUAL DE MARINGÁ</w:t>
      </w:r>
    </w:p>
    <w:p w:rsidR="001E5219" w:rsidRPr="00001C49" w:rsidRDefault="001E5219" w:rsidP="00001C49">
      <w:pPr>
        <w:spacing w:before="120"/>
        <w:ind w:right="-426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 xml:space="preserve">PROGRAMA DE PÓS-GRADUAÇÃO </w:t>
      </w:r>
      <w:smartTag w:uri="urn:schemas-microsoft-com:office:smarttags" w:element="PersonName">
        <w:smartTagPr>
          <w:attr w:name="ProductID" w:val="EM BIOCIÊNCIAS E FISIOPATOLOGIA"/>
        </w:smartTagPr>
        <w:r w:rsidRPr="00001C49">
          <w:rPr>
            <w:rFonts w:ascii="Arial" w:hAnsi="Arial" w:cs="Arial"/>
            <w:b/>
            <w:sz w:val="22"/>
            <w:szCs w:val="22"/>
          </w:rPr>
          <w:t xml:space="preserve">EM BIOCIÊNCIAS </w:t>
        </w:r>
        <w:r>
          <w:rPr>
            <w:rFonts w:ascii="Arial" w:hAnsi="Arial" w:cs="Arial"/>
            <w:b/>
            <w:sz w:val="22"/>
            <w:szCs w:val="22"/>
          </w:rPr>
          <w:t>E FISIOPATOLOGIA</w:t>
        </w:r>
      </w:smartTag>
    </w:p>
    <w:p w:rsidR="001E5219" w:rsidRPr="00001C49" w:rsidRDefault="001E5219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1E5219" w:rsidRPr="00001C49">
        <w:tc>
          <w:tcPr>
            <w:tcW w:w="8978" w:type="dxa"/>
            <w:tcBorders>
              <w:top w:val="double" w:sz="4" w:space="0" w:color="auto"/>
              <w:bottom w:val="double" w:sz="4" w:space="0" w:color="auto"/>
            </w:tcBorders>
            <w:shd w:val="pct15" w:color="auto" w:fill="FFFFFF"/>
          </w:tcPr>
          <w:p w:rsidR="001E5219" w:rsidRPr="00001C49" w:rsidRDefault="001E5219" w:rsidP="00001C49">
            <w:pPr>
              <w:pStyle w:val="Ttulo1"/>
              <w:spacing w:before="40" w:after="40"/>
              <w:rPr>
                <w:rFonts w:cs="Arial"/>
                <w:szCs w:val="22"/>
              </w:rPr>
            </w:pPr>
            <w:r w:rsidRPr="00001C49">
              <w:rPr>
                <w:rFonts w:cs="Arial"/>
                <w:sz w:val="22"/>
                <w:szCs w:val="22"/>
              </w:rPr>
              <w:t>PROGRAMA DA DISCIPLINA</w:t>
            </w:r>
          </w:p>
        </w:tc>
      </w:tr>
    </w:tbl>
    <w:p w:rsidR="001E5219" w:rsidRPr="00001C49" w:rsidRDefault="001E5219">
      <w:pPr>
        <w:rPr>
          <w:rFonts w:ascii="Arial" w:hAnsi="Arial" w:cs="Arial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4489"/>
      </w:tblGrid>
      <w:tr w:rsidR="001E5219" w:rsidRPr="00001C49" w:rsidTr="00FF58BB">
        <w:tc>
          <w:tcPr>
            <w:tcW w:w="8978" w:type="dxa"/>
            <w:gridSpan w:val="4"/>
          </w:tcPr>
          <w:p w:rsidR="001E5219" w:rsidRDefault="001E5219" w:rsidP="0003448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1D699D">
              <w:rPr>
                <w:rFonts w:ascii="Arial" w:hAnsi="Arial" w:cs="Arial"/>
                <w:b/>
                <w:sz w:val="20"/>
              </w:rPr>
              <w:t>CÓDIGO</w:t>
            </w:r>
            <w:r>
              <w:rPr>
                <w:rFonts w:ascii="Arial" w:hAnsi="Arial" w:cs="Arial"/>
                <w:sz w:val="20"/>
              </w:rPr>
              <w:t>: DCM4014</w:t>
            </w:r>
          </w:p>
          <w:p w:rsidR="001E5219" w:rsidRDefault="001E5219" w:rsidP="0003448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1D699D">
              <w:rPr>
                <w:rFonts w:ascii="Arial" w:hAnsi="Arial" w:cs="Arial"/>
                <w:b/>
                <w:sz w:val="20"/>
              </w:rPr>
              <w:t>NOME</w:t>
            </w:r>
            <w:r>
              <w:rPr>
                <w:rFonts w:ascii="Arial" w:hAnsi="Arial" w:cs="Arial"/>
                <w:sz w:val="20"/>
              </w:rPr>
              <w:t>:</w:t>
            </w:r>
            <w:r w:rsidRPr="00001C49">
              <w:rPr>
                <w:rFonts w:ascii="Arial" w:hAnsi="Arial" w:cs="Arial"/>
                <w:sz w:val="20"/>
              </w:rPr>
              <w:t xml:space="preserve"> </w:t>
            </w:r>
            <w:r w:rsidRPr="0080332F">
              <w:rPr>
                <w:rFonts w:ascii="Arial" w:hAnsi="Arial" w:cs="Arial"/>
                <w:sz w:val="22"/>
                <w:szCs w:val="22"/>
              </w:rPr>
              <w:t xml:space="preserve">Metodologia da popularização do conhecimento científico em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80332F">
              <w:rPr>
                <w:rFonts w:ascii="Arial" w:hAnsi="Arial" w:cs="Arial"/>
                <w:sz w:val="22"/>
                <w:szCs w:val="22"/>
              </w:rPr>
              <w:t xml:space="preserve">iociências </w:t>
            </w:r>
            <w:r>
              <w:rPr>
                <w:rFonts w:ascii="Arial" w:hAnsi="Arial" w:cs="Arial"/>
                <w:sz w:val="22"/>
                <w:szCs w:val="22"/>
              </w:rPr>
              <w:t>e fisiopatologia</w:t>
            </w:r>
          </w:p>
          <w:p w:rsidR="001E5219" w:rsidRPr="00034484" w:rsidRDefault="001E5219" w:rsidP="0003448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CURSO</w:t>
            </w:r>
            <w:r w:rsidRPr="00AA728C">
              <w:rPr>
                <w:rFonts w:ascii="Arial" w:hAnsi="Arial" w:cs="Arial"/>
                <w:b/>
                <w:sz w:val="20"/>
              </w:rPr>
              <w:t>:</w:t>
            </w:r>
            <w:r w:rsidRPr="00034484">
              <w:rPr>
                <w:rFonts w:ascii="Arial" w:hAnsi="Arial" w:cs="Arial"/>
                <w:sz w:val="20"/>
              </w:rPr>
              <w:t xml:space="preserve"> </w:t>
            </w:r>
            <w:r w:rsidRPr="001D699D">
              <w:rPr>
                <w:rFonts w:ascii="Arial" w:hAnsi="Arial" w:cs="Arial"/>
                <w:sz w:val="22"/>
                <w:szCs w:val="22"/>
              </w:rPr>
              <w:t>Mestrado e doutorado</w:t>
            </w:r>
          </w:p>
        </w:tc>
      </w:tr>
      <w:tr w:rsidR="001E5219" w:rsidRPr="00001C49" w:rsidTr="00FF58BB">
        <w:trPr>
          <w:cantSplit/>
          <w:trHeight w:val="255"/>
        </w:trPr>
        <w:tc>
          <w:tcPr>
            <w:tcW w:w="4489" w:type="dxa"/>
            <w:gridSpan w:val="3"/>
          </w:tcPr>
          <w:p w:rsidR="001E5219" w:rsidRPr="00001C49" w:rsidRDefault="001E5219">
            <w:pPr>
              <w:jc w:val="center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CRÉDITOS</w:t>
            </w:r>
          </w:p>
        </w:tc>
        <w:tc>
          <w:tcPr>
            <w:tcW w:w="4489" w:type="dxa"/>
            <w:vMerge w:val="restart"/>
          </w:tcPr>
          <w:p w:rsidR="001E5219" w:rsidRPr="00001C49" w:rsidRDefault="001E5219" w:rsidP="00AA728C">
            <w:pPr>
              <w:ind w:left="47"/>
              <w:jc w:val="center"/>
              <w:rPr>
                <w:rFonts w:ascii="Arial" w:hAnsi="Arial" w:cs="Arial"/>
              </w:rPr>
            </w:pPr>
            <w:r w:rsidRPr="00001C49">
              <w:rPr>
                <w:rFonts w:ascii="Arial" w:hAnsi="Arial" w:cs="Arial"/>
                <w:sz w:val="20"/>
              </w:rPr>
              <w:t>CARGA HORÁRIA TOTAL</w:t>
            </w:r>
            <w:r w:rsidRPr="00001C49">
              <w:rPr>
                <w:rFonts w:ascii="Arial" w:hAnsi="Arial" w:cs="Arial"/>
              </w:rPr>
              <w:t>:</w:t>
            </w:r>
          </w:p>
          <w:p w:rsidR="001E5219" w:rsidRPr="00001C49" w:rsidRDefault="001E5219" w:rsidP="00AA728C">
            <w:pPr>
              <w:ind w:right="4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 horas</w:t>
            </w:r>
          </w:p>
        </w:tc>
      </w:tr>
      <w:tr w:rsidR="001E5219" w:rsidRPr="00001C49" w:rsidTr="00FF58BB">
        <w:trPr>
          <w:cantSplit/>
          <w:trHeight w:val="255"/>
        </w:trPr>
        <w:tc>
          <w:tcPr>
            <w:tcW w:w="1204" w:type="dxa"/>
          </w:tcPr>
          <w:p w:rsidR="001E5219" w:rsidRPr="00AA728C" w:rsidRDefault="001E5219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AA728C">
              <w:rPr>
                <w:rFonts w:ascii="Arial" w:hAnsi="Arial" w:cs="Arial"/>
                <w:b/>
                <w:sz w:val="20"/>
              </w:rPr>
              <w:t xml:space="preserve">TOTAL: </w:t>
            </w:r>
            <w:proofErr w:type="gramStart"/>
            <w:r w:rsidRPr="00AA728C">
              <w:rPr>
                <w:rFonts w:ascii="Arial" w:hAnsi="Arial" w:cs="Arial"/>
                <w:b/>
                <w:sz w:val="20"/>
              </w:rPr>
              <w:t>4</w:t>
            </w:r>
            <w:proofErr w:type="gramEnd"/>
          </w:p>
        </w:tc>
        <w:tc>
          <w:tcPr>
            <w:tcW w:w="1560" w:type="dxa"/>
          </w:tcPr>
          <w:p w:rsidR="001E5219" w:rsidRPr="00001C49" w:rsidRDefault="001E5219" w:rsidP="00DF61C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PRÁTICOS: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25" w:type="dxa"/>
          </w:tcPr>
          <w:p w:rsidR="001E5219" w:rsidRPr="00001C49" w:rsidRDefault="001E5219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TEÓRICOS: </w:t>
            </w:r>
            <w:proofErr w:type="gramStart"/>
            <w:r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4489" w:type="dxa"/>
            <w:vMerge/>
          </w:tcPr>
          <w:p w:rsidR="001E5219" w:rsidRPr="00001C49" w:rsidRDefault="001E521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E5219" w:rsidRPr="00001C49" w:rsidTr="00FF58BB">
        <w:trPr>
          <w:cantSplit/>
        </w:trPr>
        <w:tc>
          <w:tcPr>
            <w:tcW w:w="4489" w:type="dxa"/>
            <w:gridSpan w:val="3"/>
          </w:tcPr>
          <w:p w:rsidR="001E5219" w:rsidRPr="00001C49" w:rsidRDefault="001E521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PRÉ-REQUISITOS: </w:t>
            </w:r>
          </w:p>
        </w:tc>
        <w:tc>
          <w:tcPr>
            <w:tcW w:w="4489" w:type="dxa"/>
          </w:tcPr>
          <w:p w:rsidR="001E5219" w:rsidRPr="00001C49" w:rsidRDefault="001E521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CO-REQUISITOS: </w:t>
            </w:r>
          </w:p>
        </w:tc>
      </w:tr>
    </w:tbl>
    <w:p w:rsidR="001E5219" w:rsidRDefault="001E5219" w:rsidP="00001C49">
      <w:pPr>
        <w:jc w:val="both"/>
        <w:rPr>
          <w:rFonts w:ascii="Arial" w:hAnsi="Arial" w:cs="Arial"/>
          <w:sz w:val="20"/>
        </w:rPr>
      </w:pPr>
    </w:p>
    <w:p w:rsidR="001E5219" w:rsidRDefault="001E5219" w:rsidP="00A65695">
      <w:pPr>
        <w:jc w:val="both"/>
        <w:rPr>
          <w:rFonts w:ascii="Arial" w:hAnsi="Arial" w:cs="Arial"/>
          <w:b/>
          <w:sz w:val="20"/>
        </w:rPr>
      </w:pPr>
      <w:r w:rsidRPr="0060365E">
        <w:rPr>
          <w:rFonts w:ascii="Arial" w:hAnsi="Arial" w:cs="Arial"/>
          <w:b/>
          <w:sz w:val="20"/>
        </w:rPr>
        <w:t xml:space="preserve">EMENTA: </w:t>
      </w:r>
    </w:p>
    <w:p w:rsidR="001E5219" w:rsidRPr="00FB4846" w:rsidRDefault="001E5219" w:rsidP="00A65695">
      <w:pPr>
        <w:jc w:val="both"/>
        <w:rPr>
          <w:rFonts w:ascii="Arial" w:hAnsi="Arial" w:cs="Arial"/>
          <w:sz w:val="22"/>
          <w:szCs w:val="22"/>
        </w:rPr>
      </w:pPr>
      <w:r w:rsidRPr="00FB4846">
        <w:rPr>
          <w:rFonts w:ascii="Arial" w:hAnsi="Arial" w:cs="Arial"/>
          <w:sz w:val="22"/>
          <w:szCs w:val="22"/>
        </w:rPr>
        <w:t>Conceitos de divulgação científica para diferentes públicos. Conhecer diferentes estratégias de divulgação científica e suas formas de organização e execução. Desenvolver a prática de planejamento e execução de atividades de difusão científica. Interdisciplinaridade na divulgação científica. Interação entre ciência e arte.</w:t>
      </w:r>
    </w:p>
    <w:p w:rsidR="001E5219" w:rsidRPr="0060365E" w:rsidRDefault="001E5219" w:rsidP="00001C49">
      <w:pPr>
        <w:jc w:val="both"/>
        <w:rPr>
          <w:rFonts w:ascii="Arial" w:hAnsi="Arial" w:cs="Arial"/>
          <w:b/>
          <w:sz w:val="20"/>
        </w:rPr>
      </w:pPr>
    </w:p>
    <w:p w:rsidR="001E5219" w:rsidRPr="0060365E" w:rsidRDefault="001E5219" w:rsidP="00001C49">
      <w:pPr>
        <w:spacing w:before="60" w:after="60"/>
        <w:rPr>
          <w:rFonts w:ascii="Arial" w:hAnsi="Arial" w:cs="Arial"/>
          <w:b/>
          <w:sz w:val="20"/>
        </w:rPr>
      </w:pPr>
      <w:r w:rsidRPr="0060365E">
        <w:rPr>
          <w:rFonts w:ascii="Arial" w:hAnsi="Arial" w:cs="Arial"/>
          <w:b/>
          <w:sz w:val="20"/>
        </w:rPr>
        <w:t>PROGRAMA:</w:t>
      </w:r>
    </w:p>
    <w:p w:rsidR="001E5219" w:rsidRPr="00FB4846" w:rsidRDefault="001E5219" w:rsidP="00FB4846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B4846">
        <w:rPr>
          <w:rFonts w:ascii="Arial" w:hAnsi="Arial" w:cs="Arial"/>
          <w:sz w:val="22"/>
          <w:szCs w:val="22"/>
        </w:rPr>
        <w:t>Conceitos de comunicação, disseminação, vulgarização, alfabetização, letramento e cultura científica e sua construção histórica.</w:t>
      </w:r>
    </w:p>
    <w:p w:rsidR="001E5219" w:rsidRPr="00FB4846" w:rsidRDefault="001E5219" w:rsidP="00FB4846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B4846">
        <w:rPr>
          <w:rFonts w:ascii="Arial" w:hAnsi="Arial" w:cs="Arial"/>
          <w:sz w:val="22"/>
          <w:szCs w:val="22"/>
        </w:rPr>
        <w:t xml:space="preserve">Estratégias de divulgação científica. </w:t>
      </w:r>
    </w:p>
    <w:p w:rsidR="001E5219" w:rsidRPr="00FB4846" w:rsidRDefault="001E5219" w:rsidP="00FB4846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B4846">
        <w:rPr>
          <w:rFonts w:ascii="Arial" w:hAnsi="Arial" w:cs="Arial"/>
          <w:sz w:val="22"/>
          <w:szCs w:val="22"/>
        </w:rPr>
        <w:t xml:space="preserve">Construindo práticas para divulgação científica. </w:t>
      </w:r>
    </w:p>
    <w:p w:rsidR="001E5219" w:rsidRPr="00FB4846" w:rsidRDefault="001E5219" w:rsidP="00FB4846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B4846">
        <w:rPr>
          <w:rFonts w:ascii="Arial" w:hAnsi="Arial" w:cs="Arial"/>
          <w:sz w:val="22"/>
          <w:szCs w:val="22"/>
        </w:rPr>
        <w:t xml:space="preserve">Organização e elaboração de feiras de ciências e outros eventos científicos e culturais. </w:t>
      </w:r>
    </w:p>
    <w:p w:rsidR="001E5219" w:rsidRPr="00FB4846" w:rsidRDefault="001E5219" w:rsidP="00FB4846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B4846">
        <w:rPr>
          <w:rFonts w:ascii="Arial" w:hAnsi="Arial" w:cs="Arial"/>
          <w:sz w:val="22"/>
          <w:szCs w:val="22"/>
        </w:rPr>
        <w:t xml:space="preserve">Modelos interativos de difusão científica. Jogos como instrumento de divulgação científica. </w:t>
      </w:r>
    </w:p>
    <w:p w:rsidR="001E5219" w:rsidRPr="00FB4846" w:rsidRDefault="001E5219" w:rsidP="00FB4846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B4846">
        <w:rPr>
          <w:rFonts w:ascii="Arial" w:hAnsi="Arial" w:cs="Arial"/>
          <w:sz w:val="22"/>
          <w:szCs w:val="22"/>
        </w:rPr>
        <w:t>Redação de projetos de eventos e captação de recursos.</w:t>
      </w:r>
    </w:p>
    <w:p w:rsidR="001E5219" w:rsidRPr="00FB4846" w:rsidRDefault="001E5219" w:rsidP="00FB4846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FB4846">
        <w:rPr>
          <w:rFonts w:ascii="Arial" w:hAnsi="Arial" w:cs="Arial"/>
          <w:sz w:val="22"/>
          <w:szCs w:val="22"/>
        </w:rPr>
        <w:t xml:space="preserve">Trabalho interdisciplinar na difusão da ciência. </w:t>
      </w:r>
    </w:p>
    <w:p w:rsidR="001E5219" w:rsidRPr="00FB4846" w:rsidRDefault="001E5219" w:rsidP="00FB4846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FB4846">
        <w:rPr>
          <w:rFonts w:ascii="Arial" w:hAnsi="Arial" w:cs="Arial"/>
          <w:sz w:val="22"/>
          <w:szCs w:val="22"/>
        </w:rPr>
        <w:t xml:space="preserve">Associação da ciência e arte para a divulgação científica. </w:t>
      </w:r>
    </w:p>
    <w:p w:rsidR="001E5219" w:rsidRPr="00FB4846" w:rsidRDefault="001E5219" w:rsidP="00FB4846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FB4846">
        <w:rPr>
          <w:rFonts w:ascii="Arial" w:hAnsi="Arial" w:cs="Arial"/>
          <w:sz w:val="22"/>
          <w:szCs w:val="22"/>
        </w:rPr>
        <w:t>Divulgação científica em áreas temáticas.</w:t>
      </w:r>
    </w:p>
    <w:p w:rsidR="001E5219" w:rsidRPr="00FB4846" w:rsidRDefault="001E5219" w:rsidP="00FB4846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FB4846">
        <w:rPr>
          <w:rFonts w:ascii="Arial" w:hAnsi="Arial" w:cs="Arial"/>
          <w:sz w:val="22"/>
          <w:szCs w:val="22"/>
        </w:rPr>
        <w:t>Divulgação científica para públicos distintos.</w:t>
      </w:r>
    </w:p>
    <w:p w:rsidR="001E5219" w:rsidRDefault="001E5219">
      <w:pPr>
        <w:rPr>
          <w:rFonts w:ascii="Arial" w:hAnsi="Arial" w:cs="Arial"/>
          <w:sz w:val="20"/>
        </w:rPr>
      </w:pPr>
    </w:p>
    <w:p w:rsidR="001E5219" w:rsidRPr="0060365E" w:rsidRDefault="001E5219" w:rsidP="00001C49">
      <w:pPr>
        <w:spacing w:before="60" w:after="60"/>
        <w:jc w:val="both"/>
        <w:rPr>
          <w:rFonts w:ascii="Arial" w:hAnsi="Arial" w:cs="Arial"/>
          <w:b/>
          <w:sz w:val="20"/>
        </w:rPr>
      </w:pPr>
      <w:r w:rsidRPr="0060365E">
        <w:rPr>
          <w:rFonts w:ascii="Arial" w:hAnsi="Arial" w:cs="Arial"/>
          <w:b/>
          <w:sz w:val="20"/>
        </w:rPr>
        <w:t>BIBLIOGRAFIA:</w:t>
      </w:r>
    </w:p>
    <w:p w:rsidR="001E5219" w:rsidRPr="00C66E5E" w:rsidRDefault="001E5219" w:rsidP="00231A71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C66E5E">
        <w:rPr>
          <w:rFonts w:ascii="Arial" w:hAnsi="Arial" w:cs="Arial"/>
          <w:sz w:val="20"/>
        </w:rPr>
        <w:t xml:space="preserve">ASSUMPÇÃO, </w:t>
      </w:r>
      <w:proofErr w:type="spellStart"/>
      <w:r w:rsidRPr="00C66E5E">
        <w:rPr>
          <w:rFonts w:ascii="Arial" w:hAnsi="Arial" w:cs="Arial"/>
          <w:sz w:val="20"/>
        </w:rPr>
        <w:t>A.M.</w:t>
      </w:r>
      <w:proofErr w:type="spellEnd"/>
      <w:r w:rsidRPr="00C66E5E">
        <w:rPr>
          <w:rFonts w:ascii="Arial" w:hAnsi="Arial" w:cs="Arial"/>
          <w:sz w:val="20"/>
        </w:rPr>
        <w:t xml:space="preserve">; GOUVÊA, G. Práticas enunciativas em um evento de divulgação científica em museus de ciências do Rio de Janeiro. </w:t>
      </w:r>
      <w:r w:rsidRPr="00C66E5E">
        <w:rPr>
          <w:rFonts w:ascii="Arial" w:hAnsi="Arial" w:cs="Arial"/>
          <w:b/>
          <w:sz w:val="20"/>
        </w:rPr>
        <w:t>Revista Ensaios</w:t>
      </w:r>
      <w:r w:rsidRPr="00C66E5E">
        <w:rPr>
          <w:rFonts w:ascii="Arial" w:hAnsi="Arial" w:cs="Arial"/>
          <w:sz w:val="20"/>
        </w:rPr>
        <w:t>, Belo Horizonte, v.12, n.2, p.49-68, 2010.</w:t>
      </w:r>
    </w:p>
    <w:p w:rsidR="001E5219" w:rsidRPr="00C66E5E" w:rsidRDefault="001E5219" w:rsidP="00231A71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C66E5E">
        <w:rPr>
          <w:rFonts w:ascii="Arial" w:hAnsi="Arial" w:cs="Arial"/>
          <w:sz w:val="20"/>
        </w:rPr>
        <w:t xml:space="preserve">BARROS, </w:t>
      </w:r>
      <w:proofErr w:type="spellStart"/>
      <w:r w:rsidRPr="00C66E5E">
        <w:rPr>
          <w:rFonts w:ascii="Arial" w:hAnsi="Arial" w:cs="Arial"/>
          <w:sz w:val="20"/>
        </w:rPr>
        <w:t>H.L.</w:t>
      </w:r>
      <w:proofErr w:type="spellEnd"/>
      <w:r w:rsidRPr="00C66E5E">
        <w:rPr>
          <w:rFonts w:ascii="Arial" w:hAnsi="Arial" w:cs="Arial"/>
          <w:sz w:val="20"/>
        </w:rPr>
        <w:t xml:space="preserve"> A cidade e a ciência. In: MASSARANI, L; MOREIRA, </w:t>
      </w:r>
      <w:proofErr w:type="spellStart"/>
      <w:r w:rsidRPr="00C66E5E">
        <w:rPr>
          <w:rFonts w:ascii="Arial" w:hAnsi="Arial" w:cs="Arial"/>
          <w:sz w:val="20"/>
        </w:rPr>
        <w:t>I.C.</w:t>
      </w:r>
      <w:proofErr w:type="spellEnd"/>
      <w:r w:rsidRPr="00C66E5E">
        <w:rPr>
          <w:rFonts w:ascii="Arial" w:hAnsi="Arial" w:cs="Arial"/>
          <w:sz w:val="20"/>
        </w:rPr>
        <w:t xml:space="preserve">; </w:t>
      </w:r>
      <w:proofErr w:type="gramStart"/>
      <w:r w:rsidRPr="00C66E5E">
        <w:rPr>
          <w:rFonts w:ascii="Arial" w:hAnsi="Arial" w:cs="Arial"/>
          <w:sz w:val="20"/>
        </w:rPr>
        <w:t>BRITO,</w:t>
      </w:r>
      <w:proofErr w:type="gramEnd"/>
      <w:r w:rsidRPr="00C66E5E">
        <w:rPr>
          <w:rFonts w:ascii="Arial" w:hAnsi="Arial" w:cs="Arial"/>
          <w:sz w:val="20"/>
        </w:rPr>
        <w:t xml:space="preserve"> F. </w:t>
      </w:r>
      <w:r w:rsidRPr="00C66E5E">
        <w:rPr>
          <w:rFonts w:ascii="Arial" w:hAnsi="Arial" w:cs="Arial"/>
          <w:b/>
          <w:sz w:val="20"/>
        </w:rPr>
        <w:t>Ciência e público</w:t>
      </w:r>
      <w:r w:rsidRPr="00C66E5E">
        <w:rPr>
          <w:rFonts w:ascii="Arial" w:hAnsi="Arial" w:cs="Arial"/>
          <w:sz w:val="20"/>
        </w:rPr>
        <w:t>. Caminhos da divulgação científica no Brasil. Rio de Janeiro: Editora da UFRJ, 2002.</w:t>
      </w:r>
    </w:p>
    <w:p w:rsidR="001E5219" w:rsidRPr="00C66E5E" w:rsidRDefault="001E5219" w:rsidP="00231A71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C66E5E">
        <w:rPr>
          <w:rFonts w:ascii="Arial" w:hAnsi="Arial" w:cs="Arial"/>
          <w:sz w:val="20"/>
        </w:rPr>
        <w:t xml:space="preserve">CANDOTTI, </w:t>
      </w:r>
      <w:proofErr w:type="spellStart"/>
      <w:r w:rsidRPr="00C66E5E">
        <w:rPr>
          <w:rFonts w:ascii="Arial" w:hAnsi="Arial" w:cs="Arial"/>
          <w:sz w:val="20"/>
        </w:rPr>
        <w:t>Ennio</w:t>
      </w:r>
      <w:proofErr w:type="spellEnd"/>
      <w:r w:rsidRPr="00C66E5E">
        <w:rPr>
          <w:rFonts w:ascii="Arial" w:hAnsi="Arial" w:cs="Arial"/>
          <w:sz w:val="20"/>
        </w:rPr>
        <w:t xml:space="preserve">. Ciência na educação popular. In: MASSARANI, L; MOREIRA, </w:t>
      </w:r>
      <w:proofErr w:type="spellStart"/>
      <w:r w:rsidRPr="00C66E5E">
        <w:rPr>
          <w:rFonts w:ascii="Arial" w:hAnsi="Arial" w:cs="Arial"/>
          <w:sz w:val="20"/>
        </w:rPr>
        <w:t>I.C.</w:t>
      </w:r>
      <w:proofErr w:type="spellEnd"/>
      <w:r w:rsidRPr="00C66E5E">
        <w:rPr>
          <w:rFonts w:ascii="Arial" w:hAnsi="Arial" w:cs="Arial"/>
          <w:sz w:val="20"/>
        </w:rPr>
        <w:t xml:space="preserve">; </w:t>
      </w:r>
      <w:proofErr w:type="gramStart"/>
      <w:r w:rsidRPr="00C66E5E">
        <w:rPr>
          <w:rFonts w:ascii="Arial" w:hAnsi="Arial" w:cs="Arial"/>
          <w:sz w:val="20"/>
        </w:rPr>
        <w:t>BRITO,</w:t>
      </w:r>
      <w:proofErr w:type="gramEnd"/>
      <w:r w:rsidRPr="00C66E5E">
        <w:rPr>
          <w:rFonts w:ascii="Arial" w:hAnsi="Arial" w:cs="Arial"/>
          <w:sz w:val="20"/>
        </w:rPr>
        <w:t xml:space="preserve"> F. </w:t>
      </w:r>
      <w:r w:rsidRPr="00C66E5E">
        <w:rPr>
          <w:rFonts w:ascii="Arial" w:hAnsi="Arial" w:cs="Arial"/>
          <w:b/>
          <w:sz w:val="20"/>
        </w:rPr>
        <w:t>Ciência e público</w:t>
      </w:r>
      <w:r w:rsidRPr="00C66E5E">
        <w:rPr>
          <w:rFonts w:ascii="Arial" w:hAnsi="Arial" w:cs="Arial"/>
          <w:sz w:val="20"/>
        </w:rPr>
        <w:t>. Caminhos da divulgação científica no Brasil. Rio de Janeiro: Editora da UFRJ, 2002.</w:t>
      </w:r>
    </w:p>
    <w:p w:rsidR="001E5219" w:rsidRPr="00C66E5E" w:rsidRDefault="001E5219" w:rsidP="00231A71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C66E5E">
        <w:rPr>
          <w:rFonts w:ascii="Arial" w:hAnsi="Arial" w:cs="Arial"/>
          <w:sz w:val="20"/>
        </w:rPr>
        <w:t>CASTELFRANCHI, Y</w:t>
      </w:r>
      <w:proofErr w:type="gramStart"/>
      <w:r w:rsidRPr="00C66E5E">
        <w:rPr>
          <w:rFonts w:ascii="Arial" w:hAnsi="Arial" w:cs="Arial"/>
          <w:sz w:val="20"/>
        </w:rPr>
        <w:t>.;</w:t>
      </w:r>
      <w:proofErr w:type="gramEnd"/>
      <w:r w:rsidRPr="00C66E5E">
        <w:rPr>
          <w:rFonts w:ascii="Arial" w:hAnsi="Arial" w:cs="Arial"/>
          <w:sz w:val="20"/>
        </w:rPr>
        <w:t xml:space="preserve"> MANZOLI, F.; GOUTHIER, D.; CANNATA, I. O cientista é um bruxo? Talvez não: ciência e cientistas no olhar das crianças. In: MASSARANI, L. </w:t>
      </w:r>
      <w:r w:rsidRPr="00C66E5E">
        <w:rPr>
          <w:rFonts w:ascii="Arial" w:hAnsi="Arial" w:cs="Arial"/>
          <w:b/>
          <w:sz w:val="20"/>
        </w:rPr>
        <w:t>Ciência e criança: a divulgação científica para o público infanto-juvenil</w:t>
      </w:r>
      <w:r w:rsidRPr="00C66E5E">
        <w:rPr>
          <w:rFonts w:ascii="Arial" w:hAnsi="Arial" w:cs="Arial"/>
          <w:sz w:val="20"/>
        </w:rPr>
        <w:t xml:space="preserve">. Rio de Janeiro: </w:t>
      </w:r>
      <w:proofErr w:type="spellStart"/>
      <w:r w:rsidRPr="00C66E5E">
        <w:rPr>
          <w:rFonts w:ascii="Arial" w:hAnsi="Arial" w:cs="Arial"/>
          <w:sz w:val="20"/>
        </w:rPr>
        <w:t>Fiocruz</w:t>
      </w:r>
      <w:proofErr w:type="spellEnd"/>
      <w:r w:rsidRPr="00C66E5E">
        <w:rPr>
          <w:rFonts w:ascii="Arial" w:hAnsi="Arial" w:cs="Arial"/>
          <w:sz w:val="20"/>
        </w:rPr>
        <w:t>, 2008.</w:t>
      </w:r>
    </w:p>
    <w:p w:rsidR="001E5219" w:rsidRPr="00C66E5E" w:rsidRDefault="001E5219" w:rsidP="00231A71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C66E5E">
        <w:rPr>
          <w:rFonts w:ascii="Arial" w:hAnsi="Arial" w:cs="Arial"/>
          <w:sz w:val="20"/>
        </w:rPr>
        <w:t xml:space="preserve">CAFFAGNI, </w:t>
      </w:r>
      <w:proofErr w:type="spellStart"/>
      <w:r w:rsidRPr="00C66E5E">
        <w:rPr>
          <w:rFonts w:ascii="Arial" w:hAnsi="Arial" w:cs="Arial"/>
          <w:sz w:val="20"/>
        </w:rPr>
        <w:t>C.V.A.</w:t>
      </w:r>
      <w:proofErr w:type="spellEnd"/>
      <w:proofErr w:type="gramStart"/>
      <w:r w:rsidRPr="00C66E5E">
        <w:rPr>
          <w:rFonts w:ascii="Arial" w:hAnsi="Arial" w:cs="Arial"/>
          <w:sz w:val="20"/>
        </w:rPr>
        <w:t xml:space="preserve">  </w:t>
      </w:r>
      <w:proofErr w:type="gramEnd"/>
      <w:r w:rsidRPr="00C66E5E">
        <w:rPr>
          <w:rFonts w:ascii="Arial" w:hAnsi="Arial" w:cs="Arial"/>
          <w:b/>
          <w:sz w:val="20"/>
        </w:rPr>
        <w:t>O estudo das analogias utilizadas como recurso didático por monitores em um centro de ciência e tecnologia de São Paulo – SP</w:t>
      </w:r>
      <w:r w:rsidRPr="00C66E5E">
        <w:rPr>
          <w:rFonts w:ascii="Arial" w:hAnsi="Arial" w:cs="Arial"/>
          <w:sz w:val="20"/>
        </w:rPr>
        <w:t>. Dissertação (Mestrado em Educação), Universidade de São Paulo, 2010.</w:t>
      </w:r>
    </w:p>
    <w:p w:rsidR="001E5219" w:rsidRPr="00C66E5E" w:rsidRDefault="001E5219" w:rsidP="00231A71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C66E5E">
        <w:rPr>
          <w:rFonts w:ascii="Arial" w:hAnsi="Arial" w:cs="Arial"/>
          <w:sz w:val="20"/>
        </w:rPr>
        <w:t xml:space="preserve">COSTA, </w:t>
      </w:r>
      <w:proofErr w:type="spellStart"/>
      <w:r w:rsidRPr="00C66E5E">
        <w:rPr>
          <w:rFonts w:ascii="Arial" w:hAnsi="Arial" w:cs="Arial"/>
          <w:sz w:val="20"/>
        </w:rPr>
        <w:t>A.G.</w:t>
      </w:r>
      <w:proofErr w:type="spellEnd"/>
      <w:r w:rsidRPr="00C66E5E">
        <w:rPr>
          <w:rFonts w:ascii="Arial" w:hAnsi="Arial" w:cs="Arial"/>
          <w:sz w:val="20"/>
        </w:rPr>
        <w:t xml:space="preserve"> Os “explicadores” devem explicar? In: MASSARANI, L. </w:t>
      </w:r>
      <w:r w:rsidRPr="00C66E5E">
        <w:rPr>
          <w:rFonts w:ascii="Arial" w:hAnsi="Arial" w:cs="Arial"/>
          <w:b/>
          <w:sz w:val="20"/>
        </w:rPr>
        <w:t xml:space="preserve">Diálogos &amp; ciência. Mediação em museus e centros de ciência. </w:t>
      </w:r>
      <w:r w:rsidRPr="00C66E5E">
        <w:rPr>
          <w:rFonts w:ascii="Arial" w:hAnsi="Arial" w:cs="Arial"/>
          <w:sz w:val="20"/>
        </w:rPr>
        <w:t>Rio de Janeiro: FIOCRUZ, 2008.</w:t>
      </w:r>
    </w:p>
    <w:p w:rsidR="001E5219" w:rsidRPr="00EE16DE" w:rsidRDefault="001E5219" w:rsidP="00231A71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lang w:val="es-ES_tradnl"/>
        </w:rPr>
      </w:pPr>
      <w:r w:rsidRPr="00C66E5E">
        <w:rPr>
          <w:rFonts w:ascii="Arial" w:hAnsi="Arial" w:cs="Arial"/>
          <w:sz w:val="20"/>
        </w:rPr>
        <w:lastRenderedPageBreak/>
        <w:t xml:space="preserve">GRUZMAN, C.; SIQUEIRA, V. H. F. O papel educacional do Museu de Ciências: desafios e transformações conceituais. </w:t>
      </w:r>
      <w:r w:rsidRPr="00EE16DE">
        <w:rPr>
          <w:rFonts w:ascii="Arial" w:hAnsi="Arial" w:cs="Arial"/>
          <w:b/>
          <w:sz w:val="20"/>
          <w:lang w:val="es-ES_tradnl"/>
        </w:rPr>
        <w:t xml:space="preserve">Revista electrónica de Enseñanza de las </w:t>
      </w:r>
      <w:proofErr w:type="spellStart"/>
      <w:r w:rsidRPr="00EE16DE">
        <w:rPr>
          <w:rFonts w:ascii="Arial" w:hAnsi="Arial" w:cs="Arial"/>
          <w:b/>
          <w:sz w:val="20"/>
          <w:lang w:val="es-ES_tradnl"/>
        </w:rPr>
        <w:t>ciências</w:t>
      </w:r>
      <w:proofErr w:type="spellEnd"/>
      <w:r w:rsidRPr="00EE16DE">
        <w:rPr>
          <w:rFonts w:ascii="Arial" w:hAnsi="Arial" w:cs="Arial"/>
          <w:sz w:val="20"/>
          <w:lang w:val="es-ES_tradnl"/>
        </w:rPr>
        <w:t>. V.6, n.2.; p. 402-423, 2007.</w:t>
      </w:r>
    </w:p>
    <w:p w:rsidR="001E5219" w:rsidRPr="00C66E5E" w:rsidRDefault="001E5219" w:rsidP="00231A71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C66E5E">
        <w:rPr>
          <w:rFonts w:ascii="Arial" w:hAnsi="Arial" w:cs="Arial"/>
          <w:sz w:val="20"/>
        </w:rPr>
        <w:t xml:space="preserve">MARANDINO, M. A biologia nos museus de ciências: a questão dos textos </w:t>
      </w:r>
      <w:smartTag w:uri="urn:schemas-microsoft-com:office:smarttags" w:element="PersonName">
        <w:smartTagPr>
          <w:attr w:name="ProductID" w:val="em bioexposições. Ciência"/>
        </w:smartTagPr>
        <w:r w:rsidRPr="00C66E5E">
          <w:rPr>
            <w:rFonts w:ascii="Arial" w:hAnsi="Arial" w:cs="Arial"/>
            <w:sz w:val="20"/>
          </w:rPr>
          <w:t xml:space="preserve">em </w:t>
        </w:r>
        <w:proofErr w:type="spellStart"/>
        <w:r w:rsidRPr="00C66E5E">
          <w:rPr>
            <w:rFonts w:ascii="Arial" w:hAnsi="Arial" w:cs="Arial"/>
            <w:sz w:val="20"/>
          </w:rPr>
          <w:t>bioexposições</w:t>
        </w:r>
        <w:proofErr w:type="spellEnd"/>
        <w:r w:rsidRPr="00C66E5E">
          <w:rPr>
            <w:rFonts w:ascii="Arial" w:hAnsi="Arial" w:cs="Arial"/>
            <w:sz w:val="20"/>
          </w:rPr>
          <w:t xml:space="preserve">. </w:t>
        </w:r>
        <w:r w:rsidRPr="00C66E5E">
          <w:rPr>
            <w:rFonts w:ascii="Arial" w:hAnsi="Arial" w:cs="Arial"/>
            <w:b/>
            <w:sz w:val="20"/>
          </w:rPr>
          <w:t>Ciência</w:t>
        </w:r>
      </w:smartTag>
      <w:r w:rsidRPr="00C66E5E">
        <w:rPr>
          <w:rFonts w:ascii="Arial" w:hAnsi="Arial" w:cs="Arial"/>
          <w:b/>
          <w:sz w:val="20"/>
        </w:rPr>
        <w:t xml:space="preserve"> &amp; Educação</w:t>
      </w:r>
      <w:r w:rsidRPr="00C66E5E">
        <w:rPr>
          <w:rFonts w:ascii="Arial" w:hAnsi="Arial" w:cs="Arial"/>
          <w:sz w:val="20"/>
        </w:rPr>
        <w:t>, v.8, n.2, p. 187-202, 2002.</w:t>
      </w:r>
    </w:p>
    <w:p w:rsidR="001E5219" w:rsidRPr="00C66E5E" w:rsidRDefault="001E5219" w:rsidP="00231A71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C66E5E">
        <w:rPr>
          <w:rFonts w:ascii="Arial" w:hAnsi="Arial" w:cs="Arial"/>
          <w:sz w:val="20"/>
        </w:rPr>
        <w:t xml:space="preserve">MARANDINO, M. Transposição ou </w:t>
      </w:r>
      <w:proofErr w:type="spellStart"/>
      <w:r w:rsidRPr="00C66E5E">
        <w:rPr>
          <w:rFonts w:ascii="Arial" w:hAnsi="Arial" w:cs="Arial"/>
          <w:sz w:val="20"/>
        </w:rPr>
        <w:t>recontextualização</w:t>
      </w:r>
      <w:proofErr w:type="spellEnd"/>
      <w:r w:rsidRPr="00C66E5E">
        <w:rPr>
          <w:rFonts w:ascii="Arial" w:hAnsi="Arial" w:cs="Arial"/>
          <w:sz w:val="20"/>
        </w:rPr>
        <w:t xml:space="preserve">? Sobre a produção de saberes na educação em museus de ciências. </w:t>
      </w:r>
      <w:r w:rsidRPr="00C66E5E">
        <w:rPr>
          <w:rFonts w:ascii="Arial" w:hAnsi="Arial" w:cs="Arial"/>
          <w:b/>
          <w:sz w:val="20"/>
        </w:rPr>
        <w:t>Revista Brasileira de Educação</w:t>
      </w:r>
      <w:r w:rsidRPr="00C66E5E">
        <w:rPr>
          <w:rFonts w:ascii="Arial" w:hAnsi="Arial" w:cs="Arial"/>
          <w:sz w:val="20"/>
        </w:rPr>
        <w:t>, v.26, p. 95-108, 2004.</w:t>
      </w:r>
    </w:p>
    <w:p w:rsidR="001E5219" w:rsidRPr="00C66E5E" w:rsidRDefault="001E5219" w:rsidP="00231A71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C66E5E">
        <w:rPr>
          <w:rFonts w:ascii="Arial" w:hAnsi="Arial" w:cs="Arial"/>
          <w:sz w:val="20"/>
        </w:rPr>
        <w:t xml:space="preserve">MARANDINO, M. Ação educativa, aprendizagem e mediação nas visitas aos museus de ciências. In: MASSARANI, L. </w:t>
      </w:r>
      <w:r w:rsidRPr="00C66E5E">
        <w:rPr>
          <w:rFonts w:ascii="Arial" w:hAnsi="Arial" w:cs="Arial"/>
          <w:b/>
          <w:sz w:val="20"/>
        </w:rPr>
        <w:t>Workshop Sul-Americano e escola de mediação em Museus e Centros de Ciência</w:t>
      </w:r>
      <w:r w:rsidRPr="00C66E5E">
        <w:rPr>
          <w:rFonts w:ascii="Arial" w:hAnsi="Arial" w:cs="Arial"/>
          <w:sz w:val="20"/>
        </w:rPr>
        <w:t xml:space="preserve">. Rio de Janeiro: </w:t>
      </w:r>
      <w:proofErr w:type="spellStart"/>
      <w:r w:rsidRPr="00C66E5E">
        <w:rPr>
          <w:rFonts w:ascii="Arial" w:hAnsi="Arial" w:cs="Arial"/>
          <w:sz w:val="20"/>
        </w:rPr>
        <w:t>Fiocruz</w:t>
      </w:r>
      <w:proofErr w:type="spellEnd"/>
      <w:r w:rsidRPr="00C66E5E">
        <w:rPr>
          <w:rFonts w:ascii="Arial" w:hAnsi="Arial" w:cs="Arial"/>
          <w:sz w:val="20"/>
        </w:rPr>
        <w:t>, 2008.</w:t>
      </w:r>
    </w:p>
    <w:p w:rsidR="001E5219" w:rsidRPr="00C66E5E" w:rsidRDefault="001E5219" w:rsidP="00231A71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C66E5E">
        <w:rPr>
          <w:rFonts w:ascii="Arial" w:hAnsi="Arial" w:cs="Arial"/>
          <w:sz w:val="20"/>
        </w:rPr>
        <w:t xml:space="preserve">MARTINS, Isabel. Dados como diálogo – construindo dados a partir de registros de observação de interações discursivas em salas de aula de ciências. In: </w:t>
      </w:r>
      <w:r w:rsidRPr="00C66E5E">
        <w:rPr>
          <w:rFonts w:ascii="Arial" w:hAnsi="Arial" w:cs="Arial"/>
          <w:b/>
          <w:sz w:val="20"/>
        </w:rPr>
        <w:t>A Pesquisa em Ensino de Ciências no Brasil e suas Metodologias</w:t>
      </w:r>
      <w:r w:rsidRPr="00C66E5E">
        <w:rPr>
          <w:rFonts w:ascii="Arial" w:hAnsi="Arial" w:cs="Arial"/>
          <w:sz w:val="20"/>
        </w:rPr>
        <w:t xml:space="preserve">. </w:t>
      </w:r>
      <w:proofErr w:type="spellStart"/>
      <w:r w:rsidRPr="00C66E5E">
        <w:rPr>
          <w:rFonts w:ascii="Arial" w:hAnsi="Arial" w:cs="Arial"/>
          <w:sz w:val="20"/>
        </w:rPr>
        <w:t>Ijuí</w:t>
      </w:r>
      <w:proofErr w:type="spellEnd"/>
      <w:r w:rsidRPr="00C66E5E">
        <w:rPr>
          <w:rFonts w:ascii="Arial" w:hAnsi="Arial" w:cs="Arial"/>
          <w:sz w:val="20"/>
        </w:rPr>
        <w:t xml:space="preserve">: Editora </w:t>
      </w:r>
      <w:proofErr w:type="spellStart"/>
      <w:r w:rsidRPr="00C66E5E">
        <w:rPr>
          <w:rFonts w:ascii="Arial" w:hAnsi="Arial" w:cs="Arial"/>
          <w:sz w:val="20"/>
        </w:rPr>
        <w:t>Unijuí</w:t>
      </w:r>
      <w:proofErr w:type="spellEnd"/>
      <w:r w:rsidRPr="00C66E5E">
        <w:rPr>
          <w:rFonts w:ascii="Arial" w:hAnsi="Arial" w:cs="Arial"/>
          <w:sz w:val="20"/>
        </w:rPr>
        <w:t>, 2006.</w:t>
      </w:r>
    </w:p>
    <w:p w:rsidR="001E5219" w:rsidRPr="00C66E5E" w:rsidRDefault="001E5219" w:rsidP="00231A71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C66E5E">
        <w:rPr>
          <w:rFonts w:ascii="Arial" w:hAnsi="Arial" w:cs="Arial"/>
          <w:sz w:val="20"/>
        </w:rPr>
        <w:t xml:space="preserve">NASCIMENTO, S.S. O corpo humano em exposição: promover mediações sócio-culturais em um museu de ciências. In: MASSARANI, L. </w:t>
      </w:r>
      <w:r w:rsidRPr="00C66E5E">
        <w:rPr>
          <w:rFonts w:ascii="Arial" w:hAnsi="Arial" w:cs="Arial"/>
          <w:b/>
          <w:sz w:val="20"/>
        </w:rPr>
        <w:t>Workshop Sul-Americano e escola de mediação em Museus e Centros de Ciência</w:t>
      </w:r>
      <w:r w:rsidRPr="00C66E5E">
        <w:rPr>
          <w:rFonts w:ascii="Arial" w:hAnsi="Arial" w:cs="Arial"/>
          <w:sz w:val="20"/>
        </w:rPr>
        <w:t xml:space="preserve">. Rio de Janeiro: </w:t>
      </w:r>
      <w:proofErr w:type="spellStart"/>
      <w:r w:rsidRPr="00C66E5E">
        <w:rPr>
          <w:rFonts w:ascii="Arial" w:hAnsi="Arial" w:cs="Arial"/>
          <w:sz w:val="20"/>
        </w:rPr>
        <w:t>Fiocruz</w:t>
      </w:r>
      <w:proofErr w:type="spellEnd"/>
      <w:r w:rsidRPr="00C66E5E">
        <w:rPr>
          <w:rFonts w:ascii="Arial" w:hAnsi="Arial" w:cs="Arial"/>
          <w:sz w:val="20"/>
        </w:rPr>
        <w:t>, 2008.</w:t>
      </w:r>
    </w:p>
    <w:p w:rsidR="001E5219" w:rsidRPr="00C66E5E" w:rsidRDefault="001E5219" w:rsidP="00231A71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C66E5E">
        <w:rPr>
          <w:rFonts w:ascii="Arial" w:hAnsi="Arial" w:cs="Arial"/>
          <w:sz w:val="20"/>
        </w:rPr>
        <w:t xml:space="preserve">OLIVEIRA, A. D. </w:t>
      </w:r>
      <w:r w:rsidRPr="00C66E5E">
        <w:rPr>
          <w:rFonts w:ascii="Arial" w:hAnsi="Arial" w:cs="Arial"/>
          <w:b/>
          <w:sz w:val="20"/>
        </w:rPr>
        <w:t xml:space="preserve">Biodiversidade e museus de ciências: um estudo sobre a transposição </w:t>
      </w:r>
      <w:proofErr w:type="spellStart"/>
      <w:r w:rsidRPr="00C66E5E">
        <w:rPr>
          <w:rFonts w:ascii="Arial" w:hAnsi="Arial" w:cs="Arial"/>
          <w:b/>
          <w:sz w:val="20"/>
        </w:rPr>
        <w:t>museográfica</w:t>
      </w:r>
      <w:proofErr w:type="spellEnd"/>
      <w:r w:rsidRPr="00C66E5E">
        <w:rPr>
          <w:rFonts w:ascii="Arial" w:hAnsi="Arial" w:cs="Arial"/>
          <w:b/>
          <w:sz w:val="20"/>
        </w:rPr>
        <w:t xml:space="preserve"> nos </w:t>
      </w:r>
      <w:proofErr w:type="spellStart"/>
      <w:r w:rsidRPr="00C66E5E">
        <w:rPr>
          <w:rFonts w:ascii="Arial" w:hAnsi="Arial" w:cs="Arial"/>
          <w:b/>
          <w:sz w:val="20"/>
        </w:rPr>
        <w:t>dioramas</w:t>
      </w:r>
      <w:proofErr w:type="spellEnd"/>
      <w:r w:rsidRPr="00C66E5E">
        <w:rPr>
          <w:rFonts w:ascii="Arial" w:hAnsi="Arial" w:cs="Arial"/>
          <w:sz w:val="20"/>
        </w:rPr>
        <w:t>. Dissertação (Mestrado em Ensino de Ciências), Universidade de São Paulo, 2010.</w:t>
      </w:r>
    </w:p>
    <w:p w:rsidR="001E5219" w:rsidRPr="00C66E5E" w:rsidRDefault="001E5219" w:rsidP="00231A71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C66E5E">
        <w:rPr>
          <w:rFonts w:ascii="Arial" w:hAnsi="Arial" w:cs="Arial"/>
          <w:sz w:val="20"/>
        </w:rPr>
        <w:t xml:space="preserve">RODARI, P.; MERZAGORA, M. Mediadores em museus e centros de ciência: status, papéis e capacitação. Uma visão geral européia. In: MASSARANI, L. </w:t>
      </w:r>
      <w:r w:rsidRPr="00C66E5E">
        <w:rPr>
          <w:rFonts w:ascii="Arial" w:hAnsi="Arial" w:cs="Arial"/>
          <w:b/>
          <w:sz w:val="20"/>
        </w:rPr>
        <w:t xml:space="preserve">Diálogos &amp; ciência. Mediação em museus e centros de ciência. </w:t>
      </w:r>
      <w:r w:rsidRPr="00C66E5E">
        <w:rPr>
          <w:rFonts w:ascii="Arial" w:hAnsi="Arial" w:cs="Arial"/>
          <w:sz w:val="20"/>
        </w:rPr>
        <w:t>Rio de Janeiro: FIOCRUZ, 2008.</w:t>
      </w:r>
    </w:p>
    <w:p w:rsidR="001E5219" w:rsidRPr="00C66E5E" w:rsidRDefault="001E5219" w:rsidP="00231A71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C66E5E">
        <w:rPr>
          <w:rFonts w:ascii="Arial" w:hAnsi="Arial" w:cs="Arial"/>
          <w:color w:val="000000"/>
          <w:sz w:val="20"/>
        </w:rPr>
        <w:t xml:space="preserve">ALMEIDA, Carla; DALCOL, </w:t>
      </w:r>
      <w:proofErr w:type="spellStart"/>
      <w:r w:rsidRPr="00C66E5E">
        <w:rPr>
          <w:rFonts w:ascii="Arial" w:hAnsi="Arial" w:cs="Arial"/>
          <w:color w:val="000000"/>
          <w:sz w:val="20"/>
        </w:rPr>
        <w:t>Franciane</w:t>
      </w:r>
      <w:proofErr w:type="spellEnd"/>
      <w:r w:rsidRPr="00C66E5E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C66E5E">
        <w:rPr>
          <w:rFonts w:ascii="Arial" w:hAnsi="Arial" w:cs="Arial"/>
          <w:color w:val="000000"/>
          <w:sz w:val="20"/>
        </w:rPr>
        <w:t>Lovati</w:t>
      </w:r>
      <w:proofErr w:type="spellEnd"/>
      <w:proofErr w:type="gramStart"/>
      <w:r w:rsidRPr="00C66E5E">
        <w:rPr>
          <w:rFonts w:ascii="Arial" w:hAnsi="Arial" w:cs="Arial"/>
          <w:color w:val="000000"/>
          <w:sz w:val="20"/>
        </w:rPr>
        <w:t xml:space="preserve">  </w:t>
      </w:r>
      <w:proofErr w:type="spellStart"/>
      <w:proofErr w:type="gramEnd"/>
      <w:r w:rsidRPr="00C66E5E">
        <w:rPr>
          <w:rFonts w:ascii="Arial" w:hAnsi="Arial" w:cs="Arial"/>
          <w:color w:val="000000"/>
          <w:sz w:val="20"/>
        </w:rPr>
        <w:t>and</w:t>
      </w:r>
      <w:proofErr w:type="spellEnd"/>
      <w:r w:rsidRPr="00C66E5E">
        <w:rPr>
          <w:rFonts w:ascii="Arial" w:hAnsi="Arial" w:cs="Arial"/>
          <w:color w:val="000000"/>
          <w:sz w:val="20"/>
        </w:rPr>
        <w:t>  MASSARANI, Luisa.</w:t>
      </w:r>
      <w:r w:rsidRPr="00C66E5E">
        <w:rPr>
          <w:rFonts w:ascii="Arial" w:hAnsi="Arial" w:cs="Arial"/>
          <w:b/>
          <w:bCs/>
          <w:sz w:val="20"/>
        </w:rPr>
        <w:t> Controvérsia científica no telejornalismo brasileiro: um estudo sobre a cobertura das células-tronco no Jornal Nacional .</w:t>
      </w:r>
      <w:r w:rsidRPr="00C66E5E">
        <w:rPr>
          <w:rFonts w:ascii="Arial" w:hAnsi="Arial" w:cs="Arial"/>
          <w:i/>
          <w:iCs/>
          <w:sz w:val="20"/>
        </w:rPr>
        <w:t> </w:t>
      </w:r>
      <w:r w:rsidRPr="00C66E5E">
        <w:rPr>
          <w:rFonts w:ascii="Arial" w:hAnsi="Arial" w:cs="Arial"/>
          <w:i/>
          <w:iCs/>
          <w:sz w:val="20"/>
          <w:lang w:val="en-US"/>
        </w:rPr>
        <w:t xml:space="preserve">Hist. </w:t>
      </w:r>
      <w:proofErr w:type="spellStart"/>
      <w:r w:rsidRPr="00C66E5E">
        <w:rPr>
          <w:rFonts w:ascii="Arial" w:hAnsi="Arial" w:cs="Arial"/>
          <w:i/>
          <w:iCs/>
          <w:sz w:val="20"/>
          <w:lang w:val="en-US"/>
        </w:rPr>
        <w:t>cienc</w:t>
      </w:r>
      <w:proofErr w:type="spellEnd"/>
      <w:r w:rsidRPr="00C66E5E">
        <w:rPr>
          <w:rFonts w:ascii="Arial" w:hAnsi="Arial" w:cs="Arial"/>
          <w:i/>
          <w:iCs/>
          <w:sz w:val="20"/>
          <w:lang w:val="en-US"/>
        </w:rPr>
        <w:t xml:space="preserve">. </w:t>
      </w:r>
      <w:proofErr w:type="spellStart"/>
      <w:r w:rsidRPr="00C66E5E">
        <w:rPr>
          <w:rFonts w:ascii="Arial" w:hAnsi="Arial" w:cs="Arial"/>
          <w:i/>
          <w:iCs/>
          <w:sz w:val="20"/>
          <w:lang w:val="en-US"/>
        </w:rPr>
        <w:t>saude-</w:t>
      </w:r>
      <w:proofErr w:type="gramStart"/>
      <w:r w:rsidRPr="00C66E5E">
        <w:rPr>
          <w:rFonts w:ascii="Arial" w:hAnsi="Arial" w:cs="Arial"/>
          <w:i/>
          <w:iCs/>
          <w:sz w:val="20"/>
          <w:lang w:val="en-US"/>
        </w:rPr>
        <w:t>Manguinhos</w:t>
      </w:r>
      <w:proofErr w:type="spellEnd"/>
      <w:r w:rsidRPr="00C66E5E">
        <w:rPr>
          <w:rFonts w:ascii="Arial" w:hAnsi="Arial" w:cs="Arial"/>
          <w:sz w:val="20"/>
          <w:lang w:val="en-US"/>
        </w:rPr>
        <w:t>[</w:t>
      </w:r>
      <w:proofErr w:type="gramEnd"/>
      <w:r w:rsidRPr="00C66E5E">
        <w:rPr>
          <w:rFonts w:ascii="Arial" w:hAnsi="Arial" w:cs="Arial"/>
          <w:sz w:val="20"/>
          <w:lang w:val="en-US"/>
        </w:rPr>
        <w:t>online]. 2013, vol.20, suppl.1, pp. 1203-1223. ISSN 0104-5970</w:t>
      </w:r>
    </w:p>
    <w:p w:rsidR="001E5219" w:rsidRPr="00956A18" w:rsidRDefault="001E5219" w:rsidP="00231A71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lang w:val="en-US"/>
        </w:rPr>
      </w:pPr>
      <w:r w:rsidRPr="00C66E5E">
        <w:rPr>
          <w:rFonts w:ascii="Arial" w:hAnsi="Arial" w:cs="Arial"/>
          <w:color w:val="000000"/>
          <w:sz w:val="20"/>
          <w:lang w:val="en-US"/>
        </w:rPr>
        <w:t xml:space="preserve">MASSARANI, </w:t>
      </w:r>
      <w:proofErr w:type="gramStart"/>
      <w:r w:rsidRPr="00C66E5E">
        <w:rPr>
          <w:rFonts w:ascii="Arial" w:hAnsi="Arial" w:cs="Arial"/>
          <w:color w:val="000000"/>
          <w:sz w:val="20"/>
          <w:lang w:val="en-US"/>
        </w:rPr>
        <w:t>Luisa .</w:t>
      </w:r>
      <w:proofErr w:type="gramEnd"/>
      <w:r w:rsidRPr="00C66E5E">
        <w:rPr>
          <w:rFonts w:ascii="Arial" w:hAnsi="Arial" w:cs="Arial"/>
          <w:color w:val="000000"/>
          <w:sz w:val="20"/>
          <w:lang w:val="en-US"/>
        </w:rPr>
        <w:t xml:space="preserve"> Developing world and science communication. JCOM, </w:t>
      </w:r>
      <w:r w:rsidRPr="00C66E5E">
        <w:rPr>
          <w:rFonts w:ascii="Arial" w:hAnsi="Arial" w:cs="Arial"/>
          <w:b/>
          <w:bCs/>
          <w:color w:val="000000"/>
          <w:sz w:val="20"/>
          <w:lang w:val="en-US"/>
        </w:rPr>
        <w:t>Journal of Science Communication</w:t>
      </w:r>
      <w:r w:rsidRPr="00C66E5E">
        <w:rPr>
          <w:rFonts w:ascii="Arial" w:hAnsi="Arial" w:cs="Arial"/>
          <w:sz w:val="20"/>
          <w:lang w:val="en-US"/>
        </w:rPr>
        <w:t>, v. 12, p. C03, 2013</w:t>
      </w:r>
    </w:p>
    <w:p w:rsidR="001E5219" w:rsidRPr="00956A18" w:rsidRDefault="001E5219" w:rsidP="00231A71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C66E5E">
        <w:rPr>
          <w:rFonts w:ascii="Arial" w:hAnsi="Arial" w:cs="Arial"/>
          <w:color w:val="000000"/>
          <w:sz w:val="20"/>
        </w:rPr>
        <w:t xml:space="preserve">BIZERRA, </w:t>
      </w:r>
      <w:proofErr w:type="gramStart"/>
      <w:r w:rsidRPr="00C66E5E">
        <w:rPr>
          <w:rFonts w:ascii="Arial" w:hAnsi="Arial" w:cs="Arial"/>
          <w:color w:val="000000"/>
          <w:sz w:val="20"/>
        </w:rPr>
        <w:t>A. ;</w:t>
      </w:r>
      <w:proofErr w:type="gramEnd"/>
      <w:r w:rsidRPr="00C66E5E">
        <w:rPr>
          <w:rFonts w:ascii="Arial" w:hAnsi="Arial" w:cs="Arial"/>
          <w:color w:val="000000"/>
          <w:sz w:val="20"/>
        </w:rPr>
        <w:t xml:space="preserve"> MARANDINO, M. . Medição em museus de ciências: contribuições da Teoria Histórico-Cultural. </w:t>
      </w:r>
      <w:r w:rsidRPr="00C66E5E">
        <w:rPr>
          <w:rFonts w:ascii="Arial" w:hAnsi="Arial" w:cs="Arial"/>
          <w:b/>
          <w:bCs/>
          <w:color w:val="000000"/>
          <w:sz w:val="20"/>
        </w:rPr>
        <w:t xml:space="preserve">Revista </w:t>
      </w:r>
      <w:proofErr w:type="spellStart"/>
      <w:r w:rsidRPr="00C66E5E">
        <w:rPr>
          <w:rFonts w:ascii="Arial" w:hAnsi="Arial" w:cs="Arial"/>
          <w:b/>
          <w:bCs/>
          <w:color w:val="000000"/>
          <w:sz w:val="20"/>
        </w:rPr>
        <w:t>Museologia</w:t>
      </w:r>
      <w:proofErr w:type="spellEnd"/>
      <w:r w:rsidRPr="00C66E5E">
        <w:rPr>
          <w:rFonts w:ascii="Arial" w:hAnsi="Arial" w:cs="Arial"/>
          <w:b/>
          <w:bCs/>
          <w:color w:val="000000"/>
          <w:sz w:val="20"/>
        </w:rPr>
        <w:t xml:space="preserve"> &amp; Interdisciplinaridade</w:t>
      </w:r>
      <w:r w:rsidRPr="00C66E5E">
        <w:rPr>
          <w:rFonts w:ascii="Arial" w:hAnsi="Arial" w:cs="Arial"/>
          <w:color w:val="000000"/>
          <w:sz w:val="20"/>
        </w:rPr>
        <w:t>, v. 3, p. 113-130, 2014</w:t>
      </w:r>
    </w:p>
    <w:p w:rsidR="001E5219" w:rsidRPr="00956A18" w:rsidRDefault="001E5219" w:rsidP="00231A71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956A18">
        <w:rPr>
          <w:rFonts w:ascii="Arial" w:hAnsi="Arial" w:cs="Arial"/>
          <w:color w:val="000000"/>
          <w:sz w:val="20"/>
        </w:rPr>
        <w:t xml:space="preserve">MARANDINO, </w:t>
      </w:r>
      <w:proofErr w:type="gramStart"/>
      <w:r w:rsidRPr="00956A18">
        <w:rPr>
          <w:rFonts w:ascii="Arial" w:hAnsi="Arial" w:cs="Arial"/>
          <w:color w:val="000000"/>
          <w:sz w:val="20"/>
        </w:rPr>
        <w:t>M. .</w:t>
      </w:r>
      <w:proofErr w:type="gramEnd"/>
      <w:r w:rsidRPr="00956A18">
        <w:rPr>
          <w:rFonts w:ascii="Arial" w:hAnsi="Arial" w:cs="Arial"/>
          <w:color w:val="000000"/>
          <w:sz w:val="20"/>
        </w:rPr>
        <w:t xml:space="preserve"> Educação, Ciência e Extensão: a necessária promoção. </w:t>
      </w:r>
      <w:r w:rsidRPr="00956A18">
        <w:rPr>
          <w:rFonts w:ascii="Arial" w:hAnsi="Arial" w:cs="Arial"/>
          <w:b/>
          <w:bCs/>
          <w:color w:val="000000"/>
          <w:sz w:val="20"/>
        </w:rPr>
        <w:t>Revista de Cultura e Extensão</w:t>
      </w:r>
      <w:r w:rsidRPr="00956A18">
        <w:rPr>
          <w:rFonts w:ascii="Arial" w:hAnsi="Arial" w:cs="Arial"/>
          <w:color w:val="000000"/>
          <w:sz w:val="20"/>
        </w:rPr>
        <w:t>, v. 9, p. 89-102, 2013.</w:t>
      </w:r>
    </w:p>
    <w:p w:rsidR="001E5219" w:rsidRDefault="001E5219" w:rsidP="00231A71">
      <w:pPr>
        <w:rPr>
          <w:rFonts w:ascii="Arial" w:hAnsi="Arial" w:cs="Arial"/>
          <w:sz w:val="22"/>
          <w:szCs w:val="22"/>
          <w:lang w:val="en-US"/>
        </w:rPr>
      </w:pPr>
    </w:p>
    <w:p w:rsidR="001E5219" w:rsidRDefault="001E5219" w:rsidP="00231A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REVISTAS ESPECIALIZADAS SOBRE O ASSUNTO:</w:t>
      </w:r>
    </w:p>
    <w:p w:rsidR="001E5219" w:rsidRPr="00C66E5E" w:rsidRDefault="001E5219" w:rsidP="00231A71">
      <w:pPr>
        <w:rPr>
          <w:rFonts w:ascii="Arial" w:hAnsi="Arial" w:cs="Arial"/>
          <w:sz w:val="20"/>
        </w:rPr>
      </w:pPr>
      <w:r w:rsidRPr="00C66E5E">
        <w:rPr>
          <w:rFonts w:ascii="Arial" w:hAnsi="Arial" w:cs="Arial"/>
          <w:sz w:val="20"/>
        </w:rPr>
        <w:t>Arquivos do MUDI</w:t>
      </w:r>
    </w:p>
    <w:p w:rsidR="001E5219" w:rsidRPr="00C66E5E" w:rsidRDefault="001E5219" w:rsidP="00231A71">
      <w:pPr>
        <w:rPr>
          <w:rFonts w:ascii="Arial" w:hAnsi="Arial" w:cs="Arial"/>
          <w:sz w:val="20"/>
        </w:rPr>
      </w:pPr>
      <w:r w:rsidRPr="00C66E5E">
        <w:rPr>
          <w:rFonts w:ascii="Arial" w:hAnsi="Arial" w:cs="Arial"/>
          <w:sz w:val="20"/>
        </w:rPr>
        <w:t>Ciência &amp; Educação</w:t>
      </w:r>
    </w:p>
    <w:p w:rsidR="001E5219" w:rsidRPr="00C66E5E" w:rsidRDefault="001E5219" w:rsidP="00231A71">
      <w:pPr>
        <w:rPr>
          <w:rFonts w:ascii="Arial" w:hAnsi="Arial" w:cs="Arial"/>
          <w:sz w:val="20"/>
        </w:rPr>
      </w:pPr>
      <w:r w:rsidRPr="00C66E5E">
        <w:rPr>
          <w:rFonts w:ascii="Arial" w:hAnsi="Arial" w:cs="Arial"/>
          <w:sz w:val="20"/>
        </w:rPr>
        <w:t xml:space="preserve">Revista Brasileira de Pesquisa em Ensino de Ciências </w:t>
      </w:r>
    </w:p>
    <w:p w:rsidR="001E5219" w:rsidRPr="00C66E5E" w:rsidRDefault="001E5219" w:rsidP="00231A71">
      <w:pPr>
        <w:rPr>
          <w:rFonts w:ascii="Arial" w:hAnsi="Arial" w:cs="Arial"/>
          <w:sz w:val="20"/>
        </w:rPr>
      </w:pPr>
      <w:r w:rsidRPr="00C66E5E">
        <w:rPr>
          <w:rFonts w:ascii="Arial" w:hAnsi="Arial" w:cs="Arial"/>
          <w:sz w:val="20"/>
        </w:rPr>
        <w:t>Memórias do Instituto Osvaldo Cruz</w:t>
      </w:r>
    </w:p>
    <w:p w:rsidR="001E5219" w:rsidRDefault="001E5219">
      <w:pPr>
        <w:rPr>
          <w:rFonts w:ascii="Arial" w:hAnsi="Arial" w:cs="Arial"/>
          <w:sz w:val="20"/>
        </w:rPr>
      </w:pPr>
    </w:p>
    <w:p w:rsidR="001E5219" w:rsidRDefault="001E521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FF58BB" w:rsidTr="00A96C81">
        <w:tc>
          <w:tcPr>
            <w:tcW w:w="8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FF58BB" w:rsidRDefault="00FF58BB" w:rsidP="00A96C81">
            <w:pPr>
              <w:pStyle w:val="Ttulo1"/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</w:tbl>
    <w:p w:rsidR="001E5219" w:rsidRPr="00891F62" w:rsidRDefault="001E5219" w:rsidP="00AA728C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1E5219" w:rsidRPr="00891F62" w:rsidTr="0026645C">
        <w:trPr>
          <w:cantSplit/>
        </w:trPr>
        <w:tc>
          <w:tcPr>
            <w:tcW w:w="4322" w:type="dxa"/>
            <w:tcBorders>
              <w:top w:val="double" w:sz="4" w:space="0" w:color="auto"/>
            </w:tcBorders>
          </w:tcPr>
          <w:p w:rsidR="001E5219" w:rsidRPr="00891F62" w:rsidRDefault="001E5219" w:rsidP="0026645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91F62">
              <w:rPr>
                <w:rFonts w:ascii="Arial" w:hAnsi="Arial" w:cs="Arial"/>
              </w:rPr>
              <w:t>1ª</w:t>
            </w:r>
          </w:p>
        </w:tc>
        <w:tc>
          <w:tcPr>
            <w:tcW w:w="4322" w:type="dxa"/>
            <w:tcBorders>
              <w:top w:val="double" w:sz="4" w:space="0" w:color="auto"/>
            </w:tcBorders>
          </w:tcPr>
          <w:p w:rsidR="001E5219" w:rsidRPr="00891F62" w:rsidRDefault="001E5219" w:rsidP="0026645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91F62">
              <w:rPr>
                <w:rFonts w:ascii="Arial" w:hAnsi="Arial" w:cs="Arial"/>
              </w:rPr>
              <w:t>ª</w:t>
            </w:r>
          </w:p>
        </w:tc>
      </w:tr>
      <w:tr w:rsidR="001E5219" w:rsidRPr="00891F62" w:rsidTr="0026645C">
        <w:trPr>
          <w:cantSplit/>
        </w:trPr>
        <w:tc>
          <w:tcPr>
            <w:tcW w:w="8644" w:type="dxa"/>
            <w:gridSpan w:val="2"/>
          </w:tcPr>
          <w:p w:rsidR="001E5219" w:rsidRPr="00891F62" w:rsidRDefault="001E5219" w:rsidP="0026645C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891F62"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1E5219" w:rsidRPr="00891F62" w:rsidTr="0026645C">
        <w:trPr>
          <w:cantSplit/>
        </w:trPr>
        <w:tc>
          <w:tcPr>
            <w:tcW w:w="8644" w:type="dxa"/>
            <w:gridSpan w:val="2"/>
            <w:tcBorders>
              <w:bottom w:val="double" w:sz="4" w:space="0" w:color="auto"/>
            </w:tcBorders>
          </w:tcPr>
          <w:p w:rsidR="001E5219" w:rsidRPr="00AD1736" w:rsidRDefault="001E5219" w:rsidP="0026645C">
            <w:pPr>
              <w:pStyle w:val="Corpodetexto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33008">
              <w:rPr>
                <w:rFonts w:ascii="Arial" w:hAnsi="Arial" w:cs="Arial"/>
                <w:b/>
                <w:sz w:val="22"/>
                <w:szCs w:val="22"/>
              </w:rPr>
              <w:t>1ª</w:t>
            </w:r>
            <w:r w:rsidRPr="00AD1736">
              <w:rPr>
                <w:rFonts w:ascii="Arial" w:hAnsi="Arial" w:cs="Arial"/>
                <w:sz w:val="22"/>
                <w:szCs w:val="22"/>
              </w:rPr>
              <w:t xml:space="preserve"> - Apresentação </w:t>
            </w:r>
            <w:r>
              <w:rPr>
                <w:rFonts w:ascii="Arial" w:hAnsi="Arial" w:cs="Arial"/>
                <w:sz w:val="22"/>
                <w:szCs w:val="22"/>
              </w:rPr>
              <w:t>de material de popularização científica desenvolvida durante a disciplina e correlacionada ao tema da pesquisa do estudante</w:t>
            </w:r>
            <w:r w:rsidRPr="00AD1736">
              <w:rPr>
                <w:rFonts w:ascii="Arial" w:hAnsi="Arial" w:cs="Arial"/>
                <w:sz w:val="22"/>
                <w:szCs w:val="22"/>
              </w:rPr>
              <w:t xml:space="preserve">, valendo de </w:t>
            </w:r>
            <w:proofErr w:type="gramStart"/>
            <w:r w:rsidRPr="00AD1736">
              <w:rPr>
                <w:rFonts w:ascii="Arial" w:hAnsi="Arial" w:cs="Arial"/>
                <w:sz w:val="22"/>
                <w:szCs w:val="22"/>
              </w:rPr>
              <w:t>0</w:t>
            </w:r>
            <w:proofErr w:type="gramEnd"/>
            <w:r w:rsidRPr="00AD1736">
              <w:rPr>
                <w:rFonts w:ascii="Arial" w:hAnsi="Arial" w:cs="Arial"/>
                <w:sz w:val="22"/>
                <w:szCs w:val="22"/>
              </w:rPr>
              <w:t xml:space="preserve"> (zero) a 8,0 (oito) pontos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1E5219" w:rsidRPr="00AD1736" w:rsidRDefault="001E5219" w:rsidP="0026645C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533008">
              <w:rPr>
                <w:rFonts w:ascii="Arial" w:hAnsi="Arial" w:cs="Arial"/>
                <w:b/>
                <w:sz w:val="22"/>
                <w:szCs w:val="22"/>
              </w:rPr>
              <w:t>2ª</w:t>
            </w:r>
            <w:r w:rsidRPr="00AD173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AD173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Organização de evento de popularização da ciência que envolva membros da comunidade em geral e aborde temas de pesquisa de cada estudante, valendo de </w:t>
            </w:r>
            <w:proofErr w:type="gramStart"/>
            <w:r w:rsidRPr="00AD1736">
              <w:rPr>
                <w:rFonts w:ascii="Arial" w:hAnsi="Arial" w:cs="Arial"/>
                <w:sz w:val="22"/>
                <w:szCs w:val="22"/>
              </w:rPr>
              <w:t>0</w:t>
            </w:r>
            <w:proofErr w:type="gramEnd"/>
            <w:r w:rsidRPr="00AD1736">
              <w:rPr>
                <w:rFonts w:ascii="Arial" w:hAnsi="Arial" w:cs="Arial"/>
                <w:sz w:val="22"/>
                <w:szCs w:val="22"/>
              </w:rPr>
              <w:t xml:space="preserve"> (zero) a 2,0 (dois) </w:t>
            </w:r>
            <w:r>
              <w:rPr>
                <w:rFonts w:ascii="Arial" w:hAnsi="Arial" w:cs="Arial"/>
                <w:sz w:val="22"/>
                <w:szCs w:val="22"/>
              </w:rPr>
              <w:t>pontos</w:t>
            </w:r>
          </w:p>
          <w:p w:rsidR="00FF58BB" w:rsidRDefault="00FF58BB" w:rsidP="0026645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5219" w:rsidRPr="00FF58BB" w:rsidRDefault="001E5219" w:rsidP="0026645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58BB">
              <w:rPr>
                <w:rFonts w:ascii="Arial" w:hAnsi="Arial" w:cs="Arial"/>
                <w:sz w:val="22"/>
                <w:szCs w:val="22"/>
              </w:rPr>
              <w:t>A média final será a somatória das notas das duas avaliações.</w:t>
            </w:r>
          </w:p>
        </w:tc>
      </w:tr>
    </w:tbl>
    <w:p w:rsidR="001E5219" w:rsidRPr="00A65695" w:rsidRDefault="001E5219">
      <w:pPr>
        <w:rPr>
          <w:rFonts w:ascii="Arial" w:hAnsi="Arial" w:cs="Arial"/>
          <w:sz w:val="20"/>
        </w:rPr>
      </w:pPr>
    </w:p>
    <w:sectPr w:rsidR="001E5219" w:rsidRPr="00A65695" w:rsidSect="00397A89">
      <w:pgSz w:w="11907" w:h="16840" w:code="9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496"/>
    <w:multiLevelType w:val="hybridMultilevel"/>
    <w:tmpl w:val="FFD40D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5332A"/>
    <w:multiLevelType w:val="hybridMultilevel"/>
    <w:tmpl w:val="183033F4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99316D"/>
    <w:multiLevelType w:val="hybridMultilevel"/>
    <w:tmpl w:val="C7A833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FD0928"/>
    <w:multiLevelType w:val="multilevel"/>
    <w:tmpl w:val="FFD4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423B4B"/>
    <w:multiLevelType w:val="hybridMultilevel"/>
    <w:tmpl w:val="F32473A2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B14C36"/>
    <w:multiLevelType w:val="hybridMultilevel"/>
    <w:tmpl w:val="F0B29D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5C7D8C"/>
    <w:multiLevelType w:val="hybridMultilevel"/>
    <w:tmpl w:val="6C100B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3B4DE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DA0180"/>
    <w:multiLevelType w:val="multilevel"/>
    <w:tmpl w:val="6384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C16028B"/>
    <w:multiLevelType w:val="hybridMultilevel"/>
    <w:tmpl w:val="FE42B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08B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BB734E"/>
    <w:multiLevelType w:val="multilevel"/>
    <w:tmpl w:val="85E6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79C1619"/>
    <w:multiLevelType w:val="hybridMultilevel"/>
    <w:tmpl w:val="C0146946"/>
    <w:lvl w:ilvl="0" w:tplc="0416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B0219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785D616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8"/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2"/>
  </w:num>
  <w:num w:numId="13">
    <w:abstractNumId w:val="5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77E2C"/>
    <w:rsid w:val="00001C49"/>
    <w:rsid w:val="000240B7"/>
    <w:rsid w:val="00034484"/>
    <w:rsid w:val="00062173"/>
    <w:rsid w:val="00075FCF"/>
    <w:rsid w:val="000A6CA5"/>
    <w:rsid w:val="000D0848"/>
    <w:rsid w:val="000F13A6"/>
    <w:rsid w:val="00183C5C"/>
    <w:rsid w:val="001855C4"/>
    <w:rsid w:val="001B12E4"/>
    <w:rsid w:val="001D699D"/>
    <w:rsid w:val="001E5219"/>
    <w:rsid w:val="0021235B"/>
    <w:rsid w:val="00231A71"/>
    <w:rsid w:val="00235D5E"/>
    <w:rsid w:val="0025419D"/>
    <w:rsid w:val="002570C6"/>
    <w:rsid w:val="0026645C"/>
    <w:rsid w:val="00295825"/>
    <w:rsid w:val="002A0142"/>
    <w:rsid w:val="002D4C50"/>
    <w:rsid w:val="0030499A"/>
    <w:rsid w:val="00330FAE"/>
    <w:rsid w:val="003324B2"/>
    <w:rsid w:val="003467C3"/>
    <w:rsid w:val="00377E2C"/>
    <w:rsid w:val="00397A89"/>
    <w:rsid w:val="003C21F3"/>
    <w:rsid w:val="003E354F"/>
    <w:rsid w:val="00411C6A"/>
    <w:rsid w:val="00425D5F"/>
    <w:rsid w:val="00426CE6"/>
    <w:rsid w:val="00452903"/>
    <w:rsid w:val="00486053"/>
    <w:rsid w:val="0048670C"/>
    <w:rsid w:val="00513750"/>
    <w:rsid w:val="005141BA"/>
    <w:rsid w:val="00517FD2"/>
    <w:rsid w:val="00530CE4"/>
    <w:rsid w:val="00533008"/>
    <w:rsid w:val="0056419C"/>
    <w:rsid w:val="005836B0"/>
    <w:rsid w:val="005B4B56"/>
    <w:rsid w:val="005D2A52"/>
    <w:rsid w:val="0060365E"/>
    <w:rsid w:val="00611C55"/>
    <w:rsid w:val="00646DFB"/>
    <w:rsid w:val="00693038"/>
    <w:rsid w:val="00695153"/>
    <w:rsid w:val="0073004E"/>
    <w:rsid w:val="0073384E"/>
    <w:rsid w:val="007351AD"/>
    <w:rsid w:val="00735A6A"/>
    <w:rsid w:val="00755FFA"/>
    <w:rsid w:val="00784D90"/>
    <w:rsid w:val="007B0F22"/>
    <w:rsid w:val="007D6BFD"/>
    <w:rsid w:val="0080332F"/>
    <w:rsid w:val="008300ED"/>
    <w:rsid w:val="00854600"/>
    <w:rsid w:val="00854D1D"/>
    <w:rsid w:val="00855DA8"/>
    <w:rsid w:val="00883FF3"/>
    <w:rsid w:val="00891F62"/>
    <w:rsid w:val="008A5ABA"/>
    <w:rsid w:val="00916B48"/>
    <w:rsid w:val="00956A18"/>
    <w:rsid w:val="009721A3"/>
    <w:rsid w:val="00985C69"/>
    <w:rsid w:val="009A4EDB"/>
    <w:rsid w:val="009D4A48"/>
    <w:rsid w:val="009D637E"/>
    <w:rsid w:val="009E6902"/>
    <w:rsid w:val="009F3C7E"/>
    <w:rsid w:val="00A1212A"/>
    <w:rsid w:val="00A31B40"/>
    <w:rsid w:val="00A55A5D"/>
    <w:rsid w:val="00A6187C"/>
    <w:rsid w:val="00A65695"/>
    <w:rsid w:val="00A6651E"/>
    <w:rsid w:val="00AA728C"/>
    <w:rsid w:val="00AD1736"/>
    <w:rsid w:val="00B03C04"/>
    <w:rsid w:val="00B26525"/>
    <w:rsid w:val="00B56C17"/>
    <w:rsid w:val="00BA6C90"/>
    <w:rsid w:val="00BF5086"/>
    <w:rsid w:val="00C12FEB"/>
    <w:rsid w:val="00C454B8"/>
    <w:rsid w:val="00C66E5E"/>
    <w:rsid w:val="00C76A92"/>
    <w:rsid w:val="00C92D04"/>
    <w:rsid w:val="00C93A55"/>
    <w:rsid w:val="00C94129"/>
    <w:rsid w:val="00C95192"/>
    <w:rsid w:val="00CB215B"/>
    <w:rsid w:val="00D020BF"/>
    <w:rsid w:val="00D766DA"/>
    <w:rsid w:val="00D766FD"/>
    <w:rsid w:val="00D9293A"/>
    <w:rsid w:val="00DE0F3C"/>
    <w:rsid w:val="00DE725B"/>
    <w:rsid w:val="00DF61C9"/>
    <w:rsid w:val="00E06868"/>
    <w:rsid w:val="00E07E9A"/>
    <w:rsid w:val="00E3616E"/>
    <w:rsid w:val="00E56567"/>
    <w:rsid w:val="00E60B1B"/>
    <w:rsid w:val="00E64446"/>
    <w:rsid w:val="00E85B2B"/>
    <w:rsid w:val="00E978E3"/>
    <w:rsid w:val="00ED3E34"/>
    <w:rsid w:val="00EE16DE"/>
    <w:rsid w:val="00FA3327"/>
    <w:rsid w:val="00FB4846"/>
    <w:rsid w:val="00FC5F5C"/>
    <w:rsid w:val="00FF58BB"/>
    <w:rsid w:val="00FF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A89"/>
    <w:rPr>
      <w:rFonts w:ascii="Bookman Old Style" w:hAnsi="Bookman Old Style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397A89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397A89"/>
    <w:pPr>
      <w:keepNext/>
      <w:spacing w:before="120" w:after="120"/>
      <w:outlineLvl w:val="1"/>
    </w:pPr>
    <w:rPr>
      <w:rFonts w:ascii="Times New Roman" w:hAnsi="Times New Roman"/>
      <w:b/>
      <w:sz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397A89"/>
    <w:pPr>
      <w:keepNext/>
      <w:jc w:val="center"/>
      <w:outlineLvl w:val="2"/>
    </w:pPr>
    <w:rPr>
      <w:rFonts w:ascii="Times New Roman" w:hAnsi="Times New Roman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985C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985C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985C69"/>
    <w:rPr>
      <w:rFonts w:ascii="Cambria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397A89"/>
    <w:pPr>
      <w:spacing w:before="60" w:after="60"/>
      <w:jc w:val="both"/>
    </w:pPr>
    <w:rPr>
      <w:rFonts w:ascii="Times New Roman" w:hAnsi="Times New Roman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85C69"/>
    <w:rPr>
      <w:rFonts w:ascii="Bookman Old Style" w:hAnsi="Bookman Old Style" w:cs="Times New Roman"/>
      <w:sz w:val="20"/>
      <w:szCs w:val="20"/>
    </w:rPr>
  </w:style>
  <w:style w:type="paragraph" w:styleId="NormalWeb">
    <w:name w:val="Normal (Web)"/>
    <w:basedOn w:val="Normal"/>
    <w:uiPriority w:val="99"/>
    <w:rsid w:val="00C93A5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Fontepargpadro"/>
    <w:uiPriority w:val="99"/>
    <w:rsid w:val="00916B48"/>
    <w:rPr>
      <w:rFonts w:cs="Times New Roman"/>
      <w:color w:val="0000FF"/>
      <w:u w:val="single"/>
    </w:rPr>
  </w:style>
  <w:style w:type="character" w:styleId="nfase">
    <w:name w:val="Emphasis"/>
    <w:basedOn w:val="Fontepargpadro"/>
    <w:uiPriority w:val="99"/>
    <w:qFormat/>
    <w:rsid w:val="00916B48"/>
    <w:rPr>
      <w:rFonts w:cs="Times New Roman"/>
      <w:b/>
      <w:bCs/>
    </w:rPr>
  </w:style>
  <w:style w:type="character" w:customStyle="1" w:styleId="ch">
    <w:name w:val="ch"/>
    <w:basedOn w:val="Fontepargpadro"/>
    <w:uiPriority w:val="99"/>
    <w:rsid w:val="00916B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42476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2468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2966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64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64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64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64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4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4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500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2466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29664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4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6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64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64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6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dac</dc:creator>
  <cp:lastModifiedBy>Usuário do Windows</cp:lastModifiedBy>
  <cp:revision>3</cp:revision>
  <cp:lastPrinted>2013-08-06T01:23:00Z</cp:lastPrinted>
  <dcterms:created xsi:type="dcterms:W3CDTF">2019-06-14T18:40:00Z</dcterms:created>
  <dcterms:modified xsi:type="dcterms:W3CDTF">2019-06-14T18:40:00Z</dcterms:modified>
</cp:coreProperties>
</file>