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5E" w:rsidRPr="00001C49" w:rsidRDefault="00A2505E" w:rsidP="00A2505E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A2505E" w:rsidRPr="00001C49" w:rsidRDefault="00A2505E" w:rsidP="00A2505E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A2505E" w:rsidRPr="00001C49" w:rsidRDefault="00A2505E" w:rsidP="00A2505E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A2505E" w:rsidRPr="00001C49" w:rsidTr="00A2505E">
        <w:tblPrEx>
          <w:tblCellMar>
            <w:top w:w="0" w:type="dxa"/>
            <w:bottom w:w="0" w:type="dxa"/>
          </w:tblCellMar>
        </w:tblPrEx>
        <w:tc>
          <w:tcPr>
            <w:tcW w:w="8978" w:type="dxa"/>
            <w:shd w:val="pct15" w:color="auto" w:fill="FFFFFF"/>
          </w:tcPr>
          <w:p w:rsidR="00A2505E" w:rsidRPr="00001C49" w:rsidRDefault="00A2505E" w:rsidP="00A2505E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A2505E" w:rsidRPr="00001C49" w:rsidRDefault="00A2505E" w:rsidP="00A2505E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A2505E" w:rsidRPr="00320392" w:rsidTr="00F27303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4"/>
          </w:tcPr>
          <w:p w:rsidR="00A2505E" w:rsidRPr="00320392" w:rsidRDefault="00A2505E" w:rsidP="00A2505E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320392">
              <w:rPr>
                <w:rFonts w:ascii="Arial" w:hAnsi="Arial" w:cs="Arial"/>
                <w:b/>
                <w:sz w:val="20"/>
              </w:rPr>
              <w:t>CÓDIGO</w:t>
            </w:r>
            <w:r w:rsidRPr="00320392">
              <w:rPr>
                <w:rFonts w:ascii="Arial" w:hAnsi="Arial" w:cs="Arial"/>
                <w:sz w:val="20"/>
              </w:rPr>
              <w:t xml:space="preserve">: </w:t>
            </w:r>
            <w:r w:rsidRPr="00320392">
              <w:rPr>
                <w:rFonts w:ascii="Arial" w:hAnsi="Arial" w:cs="Arial"/>
                <w:sz w:val="22"/>
                <w:szCs w:val="22"/>
                <w:lang/>
              </w:rPr>
              <w:t>DAC4025</w:t>
            </w:r>
          </w:p>
          <w:p w:rsidR="00A2505E" w:rsidRPr="00320392" w:rsidRDefault="00A2505E" w:rsidP="003203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lang/>
              </w:rPr>
            </w:pPr>
            <w:r w:rsidRPr="00320392">
              <w:rPr>
                <w:rFonts w:ascii="Arial" w:hAnsi="Arial" w:cs="Arial"/>
                <w:b/>
                <w:sz w:val="20"/>
              </w:rPr>
              <w:t>NOME</w:t>
            </w:r>
            <w:r w:rsidRPr="00320392">
              <w:rPr>
                <w:rFonts w:ascii="Arial" w:hAnsi="Arial" w:cs="Arial"/>
                <w:sz w:val="20"/>
              </w:rPr>
              <w:t xml:space="preserve">: </w:t>
            </w:r>
            <w:r w:rsidRPr="00320392">
              <w:rPr>
                <w:rFonts w:ascii="Arial" w:hAnsi="Arial" w:cs="Arial"/>
                <w:sz w:val="22"/>
                <w:szCs w:val="22"/>
                <w:lang/>
              </w:rPr>
              <w:t>F</w:t>
            </w:r>
            <w:r w:rsidR="00320392" w:rsidRPr="00320392">
              <w:rPr>
                <w:rFonts w:ascii="Arial" w:hAnsi="Arial" w:cs="Arial"/>
                <w:sz w:val="22"/>
                <w:szCs w:val="22"/>
                <w:lang/>
              </w:rPr>
              <w:t>atores de virulência de fungos</w:t>
            </w:r>
          </w:p>
          <w:p w:rsidR="00320392" w:rsidRPr="00320392" w:rsidRDefault="00320392" w:rsidP="003203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320392">
              <w:rPr>
                <w:rFonts w:ascii="Arial" w:hAnsi="Arial" w:cs="Arial"/>
                <w:b/>
                <w:sz w:val="20"/>
                <w:lang/>
              </w:rPr>
              <w:t xml:space="preserve">CURSO: </w:t>
            </w:r>
            <w:r w:rsidR="000E3664">
              <w:rPr>
                <w:rFonts w:ascii="Arial" w:hAnsi="Arial" w:cs="Arial"/>
                <w:sz w:val="22"/>
                <w:szCs w:val="22"/>
                <w:lang/>
              </w:rPr>
              <w:t>M</w:t>
            </w:r>
            <w:r w:rsidRPr="00320392">
              <w:rPr>
                <w:rFonts w:ascii="Arial" w:hAnsi="Arial" w:cs="Arial"/>
                <w:sz w:val="22"/>
                <w:szCs w:val="22"/>
                <w:lang/>
              </w:rPr>
              <w:t>estrado</w:t>
            </w:r>
            <w:r w:rsidR="000E3664">
              <w:rPr>
                <w:rFonts w:ascii="Arial" w:hAnsi="Arial" w:cs="Arial"/>
                <w:sz w:val="22"/>
                <w:szCs w:val="22"/>
                <w:lang/>
              </w:rPr>
              <w:t xml:space="preserve"> e Doutorado </w:t>
            </w:r>
          </w:p>
        </w:tc>
      </w:tr>
      <w:tr w:rsidR="000E3664" w:rsidRPr="00001C49" w:rsidTr="00F2730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489" w:type="dxa"/>
            <w:gridSpan w:val="3"/>
          </w:tcPr>
          <w:p w:rsidR="000E3664" w:rsidRPr="00001C49" w:rsidRDefault="000E3664" w:rsidP="00A2505E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0E3664" w:rsidRPr="00001C49" w:rsidRDefault="000E3664" w:rsidP="000E3664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0E3664" w:rsidRPr="000F0BBF" w:rsidRDefault="000E3664" w:rsidP="000E3664">
            <w:pPr>
              <w:spacing w:before="120"/>
              <w:ind w:right="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 horas</w:t>
            </w:r>
          </w:p>
        </w:tc>
      </w:tr>
      <w:tr w:rsidR="000E3664" w:rsidRPr="00001C49" w:rsidTr="00F2730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4" w:type="dxa"/>
          </w:tcPr>
          <w:p w:rsidR="000E3664" w:rsidRPr="000E3664" w:rsidRDefault="000E3664" w:rsidP="00A2505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E3664">
              <w:rPr>
                <w:rFonts w:ascii="Arial" w:hAnsi="Arial" w:cs="Arial"/>
                <w:b/>
                <w:sz w:val="20"/>
              </w:rPr>
              <w:t>TOTAL: 03</w:t>
            </w:r>
          </w:p>
        </w:tc>
        <w:tc>
          <w:tcPr>
            <w:tcW w:w="1560" w:type="dxa"/>
          </w:tcPr>
          <w:p w:rsidR="000E3664" w:rsidRPr="00001C49" w:rsidRDefault="000E3664" w:rsidP="00A2505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25" w:type="dxa"/>
          </w:tcPr>
          <w:p w:rsidR="000E3664" w:rsidRPr="00001C49" w:rsidRDefault="000E3664" w:rsidP="00A2505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489" w:type="dxa"/>
            <w:vMerge/>
          </w:tcPr>
          <w:p w:rsidR="000E3664" w:rsidRPr="00001C49" w:rsidRDefault="000E3664" w:rsidP="00A2505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505E" w:rsidRPr="00001C49" w:rsidTr="00F273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9" w:type="dxa"/>
            <w:gridSpan w:val="3"/>
          </w:tcPr>
          <w:p w:rsidR="00A2505E" w:rsidRPr="00001C49" w:rsidRDefault="00A2505E" w:rsidP="00A2505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</w:tcPr>
          <w:p w:rsidR="00A2505E" w:rsidRPr="00001C49" w:rsidRDefault="00A2505E" w:rsidP="00A2505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A2505E" w:rsidRDefault="00A2505E"/>
    <w:p w:rsidR="00A2505E" w:rsidRPr="00A2505E" w:rsidRDefault="00A2505E" w:rsidP="00CB3B89">
      <w:pPr>
        <w:ind w:right="-427"/>
        <w:rPr>
          <w:rFonts w:ascii="Arial" w:hAnsi="Arial"/>
          <w:b/>
          <w:sz w:val="20"/>
          <w:lang/>
        </w:rPr>
      </w:pPr>
      <w:r w:rsidRPr="00A2505E">
        <w:rPr>
          <w:rFonts w:ascii="Arial" w:hAnsi="Arial"/>
          <w:b/>
          <w:sz w:val="20"/>
          <w:lang/>
        </w:rPr>
        <w:t>EMENTA:</w:t>
      </w:r>
    </w:p>
    <w:p w:rsidR="00A2505E" w:rsidRPr="00A2505E" w:rsidRDefault="00A2505E" w:rsidP="00CB3B89">
      <w:pPr>
        <w:ind w:right="-427"/>
        <w:rPr>
          <w:rFonts w:ascii="Arial" w:hAnsi="Arial"/>
          <w:sz w:val="20"/>
          <w:lang/>
        </w:rPr>
      </w:pPr>
    </w:p>
    <w:p w:rsidR="00A2505E" w:rsidRPr="00320392" w:rsidRDefault="00A2505E" w:rsidP="00CB3B89">
      <w:pPr>
        <w:ind w:right="-427"/>
        <w:rPr>
          <w:rFonts w:ascii="Arial" w:hAnsi="Arial"/>
          <w:sz w:val="22"/>
          <w:szCs w:val="22"/>
          <w:lang/>
        </w:rPr>
      </w:pPr>
      <w:r w:rsidRPr="00320392">
        <w:rPr>
          <w:rFonts w:ascii="Arial" w:hAnsi="Arial"/>
          <w:sz w:val="22"/>
          <w:szCs w:val="22"/>
          <w:lang/>
        </w:rPr>
        <w:t>Virulência de fungos e de mecanismos que predispõem às micoses humanas, visando aprimorar os recursos para diagnóstico laboratorial destes agentes e estabelecer medidas quanto à profilaxia e tratamento das micoses.</w:t>
      </w:r>
    </w:p>
    <w:p w:rsidR="00A2505E" w:rsidRPr="00A2505E" w:rsidRDefault="00A2505E" w:rsidP="00CB3B89">
      <w:pPr>
        <w:ind w:right="-427"/>
        <w:rPr>
          <w:rFonts w:ascii="Arial" w:hAnsi="Arial"/>
          <w:sz w:val="20"/>
          <w:lang/>
        </w:rPr>
      </w:pPr>
    </w:p>
    <w:p w:rsidR="00A2505E" w:rsidRPr="00A2505E" w:rsidRDefault="00A2505E" w:rsidP="00CB3B89">
      <w:pPr>
        <w:ind w:right="-427"/>
        <w:rPr>
          <w:rFonts w:ascii="Arial" w:hAnsi="Arial"/>
          <w:b/>
          <w:sz w:val="20"/>
          <w:lang/>
        </w:rPr>
      </w:pPr>
      <w:r w:rsidRPr="00A2505E">
        <w:rPr>
          <w:rFonts w:ascii="Arial" w:hAnsi="Arial"/>
          <w:b/>
          <w:sz w:val="20"/>
          <w:lang/>
        </w:rPr>
        <w:t>PROGRAMA:</w:t>
      </w:r>
    </w:p>
    <w:p w:rsidR="00A2505E" w:rsidRPr="00A2505E" w:rsidRDefault="00A2505E" w:rsidP="00CB3B89">
      <w:pPr>
        <w:ind w:right="-427"/>
        <w:rPr>
          <w:rFonts w:ascii="Arial" w:hAnsi="Arial"/>
          <w:sz w:val="20"/>
          <w:lang/>
        </w:rPr>
      </w:pPr>
    </w:p>
    <w:p w:rsidR="00A2505E" w:rsidRPr="00320392" w:rsidRDefault="00A2505E" w:rsidP="00CB3B89">
      <w:pPr>
        <w:numPr>
          <w:ilvl w:val="0"/>
          <w:numId w:val="5"/>
        </w:numPr>
        <w:tabs>
          <w:tab w:val="clear" w:pos="360"/>
          <w:tab w:val="num" w:pos="284"/>
        </w:tabs>
        <w:suppressAutoHyphens/>
        <w:snapToGrid w:val="0"/>
        <w:ind w:left="284" w:right="-427" w:hanging="284"/>
        <w:jc w:val="both"/>
        <w:rPr>
          <w:rFonts w:ascii="Arial" w:hAnsi="Arial"/>
          <w:sz w:val="22"/>
          <w:szCs w:val="22"/>
          <w:lang/>
        </w:rPr>
      </w:pPr>
      <w:r w:rsidRPr="00320392">
        <w:rPr>
          <w:rFonts w:ascii="Arial" w:hAnsi="Arial"/>
          <w:sz w:val="22"/>
          <w:szCs w:val="22"/>
          <w:lang/>
        </w:rPr>
        <w:t>Abordagem expositiva de tópicos relevantes relacionados ao tema</w:t>
      </w:r>
    </w:p>
    <w:p w:rsidR="00A2505E" w:rsidRPr="00320392" w:rsidRDefault="00A2505E" w:rsidP="00CB3B89">
      <w:pPr>
        <w:numPr>
          <w:ilvl w:val="0"/>
          <w:numId w:val="5"/>
        </w:numPr>
        <w:tabs>
          <w:tab w:val="clear" w:pos="360"/>
          <w:tab w:val="num" w:pos="284"/>
        </w:tabs>
        <w:suppressAutoHyphens/>
        <w:ind w:left="284" w:right="-427" w:hanging="284"/>
        <w:jc w:val="both"/>
        <w:rPr>
          <w:rFonts w:ascii="Arial" w:hAnsi="Arial"/>
          <w:sz w:val="22"/>
          <w:szCs w:val="22"/>
          <w:lang/>
        </w:rPr>
      </w:pPr>
      <w:r w:rsidRPr="00320392">
        <w:rPr>
          <w:rFonts w:ascii="Arial" w:hAnsi="Arial"/>
          <w:sz w:val="22"/>
          <w:szCs w:val="22"/>
          <w:lang/>
        </w:rPr>
        <w:t xml:space="preserve">Análise crítica de fatores de virulência de interesse em fungos (enzimas extracelulares, formação de biofilmes, propriedades </w:t>
      </w:r>
      <w:proofErr w:type="spellStart"/>
      <w:r w:rsidRPr="00320392">
        <w:rPr>
          <w:rFonts w:ascii="Arial" w:hAnsi="Arial"/>
          <w:sz w:val="22"/>
          <w:szCs w:val="22"/>
          <w:lang/>
        </w:rPr>
        <w:t>hemaglutinantes</w:t>
      </w:r>
      <w:proofErr w:type="spellEnd"/>
      <w:r w:rsidRPr="00320392">
        <w:rPr>
          <w:rFonts w:ascii="Arial" w:hAnsi="Arial"/>
          <w:sz w:val="22"/>
          <w:szCs w:val="22"/>
          <w:lang/>
        </w:rPr>
        <w:t xml:space="preserve">, </w:t>
      </w:r>
      <w:proofErr w:type="spellStart"/>
      <w:r w:rsidRPr="00320392">
        <w:rPr>
          <w:rFonts w:ascii="Arial" w:hAnsi="Arial"/>
          <w:sz w:val="22"/>
          <w:szCs w:val="22"/>
          <w:lang/>
        </w:rPr>
        <w:t>dimorfismo</w:t>
      </w:r>
      <w:proofErr w:type="spellEnd"/>
      <w:r w:rsidRPr="00320392">
        <w:rPr>
          <w:rFonts w:ascii="Arial" w:hAnsi="Arial"/>
          <w:sz w:val="22"/>
          <w:szCs w:val="22"/>
          <w:lang/>
        </w:rPr>
        <w:t xml:space="preserve">, </w:t>
      </w:r>
      <w:proofErr w:type="spellStart"/>
      <w:r w:rsidRPr="00320392">
        <w:rPr>
          <w:rFonts w:ascii="Arial" w:hAnsi="Arial"/>
          <w:sz w:val="22"/>
          <w:szCs w:val="22"/>
          <w:lang/>
        </w:rPr>
        <w:t>hidrofobicidade</w:t>
      </w:r>
      <w:proofErr w:type="spellEnd"/>
      <w:r w:rsidRPr="00320392">
        <w:rPr>
          <w:rFonts w:ascii="Arial" w:hAnsi="Arial"/>
          <w:sz w:val="22"/>
          <w:szCs w:val="22"/>
          <w:lang/>
        </w:rPr>
        <w:t>)</w:t>
      </w:r>
    </w:p>
    <w:p w:rsidR="00A2505E" w:rsidRPr="00A2505E" w:rsidRDefault="00A2505E" w:rsidP="00CB3B89">
      <w:pPr>
        <w:ind w:right="-427"/>
        <w:rPr>
          <w:rFonts w:ascii="Arial" w:hAnsi="Arial"/>
          <w:sz w:val="20"/>
        </w:rPr>
      </w:pPr>
    </w:p>
    <w:p w:rsidR="00A2505E" w:rsidRPr="00A2505E" w:rsidRDefault="00A2505E" w:rsidP="00CB3B89">
      <w:pPr>
        <w:ind w:right="-427"/>
        <w:rPr>
          <w:rFonts w:ascii="Arial" w:hAnsi="Arial"/>
          <w:b/>
          <w:sz w:val="20"/>
        </w:rPr>
      </w:pPr>
      <w:r w:rsidRPr="00A2505E">
        <w:rPr>
          <w:rFonts w:ascii="Arial" w:hAnsi="Arial"/>
          <w:b/>
          <w:sz w:val="20"/>
          <w:lang/>
        </w:rPr>
        <w:t>BIBLIOGRAFIA: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/>
        </w:rPr>
      </w:pPr>
      <w:r w:rsidRPr="00320392">
        <w:rPr>
          <w:rFonts w:ascii="Arial" w:hAnsi="Arial"/>
          <w:sz w:val="22"/>
          <w:szCs w:val="22"/>
          <w:lang/>
        </w:rPr>
        <w:t xml:space="preserve">Braga-Silva LA, Santos AL. </w:t>
      </w:r>
      <w:r w:rsidRPr="00320392">
        <w:rPr>
          <w:rFonts w:ascii="Arial" w:hAnsi="Arial"/>
          <w:sz w:val="22"/>
          <w:szCs w:val="22"/>
          <w:lang w:val="en-US"/>
        </w:rPr>
        <w:t xml:space="preserve">Aspartic protease inhibitors as potential anti-Candida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albicans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drugs: impacts on fungal biology, virulence and pathogenesis.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Curr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Med Chem. 2011</w:t>
      </w:r>
      <w:proofErr w:type="gramStart"/>
      <w:r w:rsidRPr="00320392">
        <w:rPr>
          <w:rFonts w:ascii="Arial" w:hAnsi="Arial"/>
          <w:sz w:val="22"/>
          <w:szCs w:val="22"/>
          <w:lang w:val="en-US"/>
        </w:rPr>
        <w:t>;18</w:t>
      </w:r>
      <w:proofErr w:type="gramEnd"/>
      <w:r w:rsidRPr="00320392">
        <w:rPr>
          <w:rFonts w:ascii="Arial" w:hAnsi="Arial"/>
          <w:sz w:val="22"/>
          <w:szCs w:val="22"/>
          <w:lang w:val="en-US"/>
        </w:rPr>
        <w:t>(16):2401-19. Review.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eastAsia="ar-SA"/>
        </w:rPr>
      </w:pP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Burnie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JP, Carter TL,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Hodgetts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SJ, Matthews RC. Fungal heat-shock proteins in human disease. </w:t>
      </w:r>
      <w:r w:rsidRPr="00320392">
        <w:rPr>
          <w:rFonts w:ascii="Arial" w:hAnsi="Arial"/>
          <w:sz w:val="22"/>
          <w:szCs w:val="22"/>
          <w:lang w:eastAsia="ar-SA"/>
        </w:rPr>
        <w:t xml:space="preserve">FEMS </w:t>
      </w:r>
      <w:proofErr w:type="spellStart"/>
      <w:r w:rsidRPr="00320392">
        <w:rPr>
          <w:rFonts w:ascii="Arial" w:hAnsi="Arial"/>
          <w:sz w:val="22"/>
          <w:szCs w:val="22"/>
          <w:lang w:eastAsia="ar-SA"/>
        </w:rPr>
        <w:t>Microbiol</w:t>
      </w:r>
      <w:proofErr w:type="spellEnd"/>
      <w:r w:rsidRPr="00320392">
        <w:rPr>
          <w:rFonts w:ascii="Arial" w:hAnsi="Arial"/>
          <w:sz w:val="22"/>
          <w:szCs w:val="22"/>
          <w:lang w:eastAsia="ar-SA"/>
        </w:rPr>
        <w:t xml:space="preserve"> Rev. </w:t>
      </w:r>
      <w:proofErr w:type="gramStart"/>
      <w:r w:rsidRPr="00320392">
        <w:rPr>
          <w:rFonts w:ascii="Arial" w:hAnsi="Arial"/>
          <w:sz w:val="22"/>
          <w:szCs w:val="22"/>
          <w:lang w:eastAsia="ar-SA"/>
        </w:rPr>
        <w:t>30(1):</w:t>
      </w:r>
      <w:proofErr w:type="gramEnd"/>
      <w:r w:rsidRPr="00320392">
        <w:rPr>
          <w:rFonts w:ascii="Arial" w:hAnsi="Arial"/>
          <w:sz w:val="22"/>
          <w:szCs w:val="22"/>
          <w:lang w:eastAsia="ar-SA"/>
        </w:rPr>
        <w:t xml:space="preserve">53-88, 2006. </w:t>
      </w:r>
      <w:proofErr w:type="spellStart"/>
      <w:r w:rsidRPr="00320392">
        <w:rPr>
          <w:rFonts w:ascii="Arial" w:hAnsi="Arial"/>
          <w:sz w:val="22"/>
          <w:szCs w:val="22"/>
          <w:lang w:eastAsia="ar-SA"/>
        </w:rPr>
        <w:t>Review</w:t>
      </w:r>
      <w:proofErr w:type="spellEnd"/>
      <w:r w:rsidRPr="00320392">
        <w:rPr>
          <w:rFonts w:ascii="Arial" w:hAnsi="Arial"/>
          <w:sz w:val="22"/>
          <w:szCs w:val="22"/>
          <w:lang w:eastAsia="ar-SA"/>
        </w:rPr>
        <w:t xml:space="preserve">.  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 w:eastAsia="ar-SA"/>
        </w:rPr>
      </w:pPr>
      <w:proofErr w:type="spellStart"/>
      <w:r w:rsidRPr="00320392">
        <w:rPr>
          <w:rFonts w:ascii="Arial" w:hAnsi="Arial"/>
          <w:sz w:val="22"/>
          <w:szCs w:val="22"/>
          <w:lang w:eastAsia="ar-SA"/>
        </w:rPr>
        <w:t>Consolaro</w:t>
      </w:r>
      <w:proofErr w:type="spellEnd"/>
      <w:r w:rsidRPr="00320392">
        <w:rPr>
          <w:rFonts w:ascii="Arial" w:hAnsi="Arial"/>
          <w:sz w:val="22"/>
          <w:szCs w:val="22"/>
          <w:lang w:eastAsia="ar-SA"/>
        </w:rPr>
        <w:t xml:space="preserve"> ME, </w:t>
      </w:r>
      <w:proofErr w:type="spellStart"/>
      <w:r w:rsidRPr="00320392">
        <w:rPr>
          <w:rFonts w:ascii="Arial" w:hAnsi="Arial"/>
          <w:sz w:val="22"/>
          <w:szCs w:val="22"/>
          <w:lang w:eastAsia="ar-SA"/>
        </w:rPr>
        <w:t>Gasparetto</w:t>
      </w:r>
      <w:proofErr w:type="spellEnd"/>
      <w:r w:rsidRPr="00320392">
        <w:rPr>
          <w:rFonts w:ascii="Arial" w:hAnsi="Arial"/>
          <w:sz w:val="22"/>
          <w:szCs w:val="22"/>
          <w:lang w:eastAsia="ar-SA"/>
        </w:rPr>
        <w:t xml:space="preserve"> A, </w:t>
      </w:r>
      <w:proofErr w:type="spellStart"/>
      <w:r w:rsidRPr="00320392">
        <w:rPr>
          <w:rFonts w:ascii="Arial" w:hAnsi="Arial"/>
          <w:sz w:val="22"/>
          <w:szCs w:val="22"/>
          <w:lang w:eastAsia="ar-SA"/>
        </w:rPr>
        <w:t>Svidzinski</w:t>
      </w:r>
      <w:proofErr w:type="spellEnd"/>
      <w:r w:rsidRPr="00320392">
        <w:rPr>
          <w:rFonts w:ascii="Arial" w:hAnsi="Arial"/>
          <w:sz w:val="22"/>
          <w:szCs w:val="22"/>
          <w:lang w:eastAsia="ar-SA"/>
        </w:rPr>
        <w:t xml:space="preserve"> TI, Peralta RM. </w:t>
      </w:r>
      <w:r w:rsidRPr="00320392">
        <w:rPr>
          <w:rFonts w:ascii="Arial" w:hAnsi="Arial"/>
          <w:sz w:val="22"/>
          <w:szCs w:val="22"/>
          <w:lang w:val="en-US" w:eastAsia="ar-SA"/>
        </w:rPr>
        <w:t xml:space="preserve">Effect of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pepstatin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A on the virulence factors of Candida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albicans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strains isolated from vaginal environment of patients in three different clinical conditions.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Mycopathologia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. 162(2):75-82, 2006. 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 w:eastAsia="ar-SA"/>
        </w:rPr>
      </w:pPr>
      <w:r w:rsidRPr="00320392">
        <w:rPr>
          <w:rFonts w:ascii="Arial" w:hAnsi="Arial"/>
          <w:sz w:val="22"/>
          <w:szCs w:val="22"/>
          <w:lang w:val="en-US"/>
        </w:rPr>
        <w:t xml:space="preserve">Costa AC, </w:t>
      </w:r>
      <w:smartTag w:uri="urn:schemas-microsoft-com:office:smarttags" w:element="place">
        <w:smartTag w:uri="urn:schemas-microsoft-com:office:smarttags" w:element="City">
          <w:r w:rsidRPr="00320392">
            <w:rPr>
              <w:rFonts w:ascii="Arial" w:hAnsi="Arial"/>
              <w:sz w:val="22"/>
              <w:szCs w:val="22"/>
              <w:lang w:val="en-US"/>
            </w:rPr>
            <w:t>Pereira</w:t>
          </w:r>
        </w:smartTag>
        <w:r w:rsidRPr="00320392">
          <w:rPr>
            <w:rFonts w:ascii="Arial" w:hAnsi="Arial"/>
            <w:sz w:val="22"/>
            <w:szCs w:val="22"/>
            <w:lang w:val="en-US"/>
          </w:rPr>
          <w:t xml:space="preserve"> </w:t>
        </w:r>
        <w:smartTag w:uri="urn:schemas-microsoft-com:office:smarttags" w:element="State">
          <w:r w:rsidRPr="00320392">
            <w:rPr>
              <w:rFonts w:ascii="Arial" w:hAnsi="Arial"/>
              <w:sz w:val="22"/>
              <w:szCs w:val="22"/>
              <w:lang w:val="en-US"/>
            </w:rPr>
            <w:t>CA</w:t>
          </w:r>
        </w:smartTag>
      </w:smartTag>
      <w:r w:rsidRPr="00320392"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Junqueira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JC, Jorge AO. Recent mouse and rat methods for the study of experimental oral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candidiasis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>.  Virulence. 2013 1</w:t>
      </w:r>
      <w:proofErr w:type="gramStart"/>
      <w:r w:rsidRPr="00320392">
        <w:rPr>
          <w:rFonts w:ascii="Arial" w:hAnsi="Arial"/>
          <w:sz w:val="22"/>
          <w:szCs w:val="22"/>
          <w:lang w:val="en-US"/>
        </w:rPr>
        <w:t>;4</w:t>
      </w:r>
      <w:proofErr w:type="gramEnd"/>
      <w:r w:rsidRPr="00320392">
        <w:rPr>
          <w:rFonts w:ascii="Arial" w:hAnsi="Arial"/>
          <w:sz w:val="22"/>
          <w:szCs w:val="22"/>
          <w:lang w:val="en-US"/>
        </w:rPr>
        <w:t>(5):391-9.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 w:eastAsia="ar-SA"/>
        </w:rPr>
      </w:pPr>
      <w:r w:rsidRPr="00320392">
        <w:rPr>
          <w:rFonts w:ascii="Arial" w:hAnsi="Arial"/>
          <w:sz w:val="22"/>
          <w:szCs w:val="22"/>
          <w:lang w:val="en-US" w:eastAsia="ar-SA"/>
        </w:rPr>
        <w:t xml:space="preserve">Fernandez-Arenas E,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Cabezon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V, Bermejo C, Arroyo J,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Nombela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C,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Diez-Orejas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R, Gil C. Integrated proteomic and genomic strategies bring new insight into Candida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albicans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response upon macrophage interaction. Mol Cell Proteomics. 2006 12.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 w:eastAsia="ar-SA"/>
        </w:rPr>
      </w:pPr>
      <w:r w:rsidRPr="00320392">
        <w:rPr>
          <w:rFonts w:ascii="Arial" w:hAnsi="Arial"/>
          <w:sz w:val="22"/>
          <w:szCs w:val="22"/>
          <w:lang w:val="en-US" w:eastAsia="ar-SA"/>
        </w:rPr>
        <w:t xml:space="preserve">Filler SG, </w:t>
      </w:r>
      <w:smartTag w:uri="urn:schemas-microsoft-com:office:smarttags" w:element="place">
        <w:smartTag w:uri="urn:schemas-microsoft-com:office:smarttags" w:element="City">
          <w:r w:rsidRPr="00320392">
            <w:rPr>
              <w:rFonts w:ascii="Arial" w:hAnsi="Arial"/>
              <w:sz w:val="22"/>
              <w:szCs w:val="22"/>
              <w:lang w:val="en-US" w:eastAsia="ar-SA"/>
            </w:rPr>
            <w:t>Sheppard</w:t>
          </w:r>
        </w:smartTag>
        <w:r w:rsidRPr="00320392">
          <w:rPr>
            <w:rFonts w:ascii="Arial" w:hAnsi="Arial"/>
            <w:sz w:val="22"/>
            <w:szCs w:val="22"/>
            <w:lang w:val="en-US" w:eastAsia="ar-SA"/>
          </w:rPr>
          <w:t xml:space="preserve"> </w:t>
        </w:r>
        <w:smartTag w:uri="urn:schemas-microsoft-com:office:smarttags" w:element="State">
          <w:r w:rsidRPr="00320392">
            <w:rPr>
              <w:rFonts w:ascii="Arial" w:hAnsi="Arial"/>
              <w:sz w:val="22"/>
              <w:szCs w:val="22"/>
              <w:lang w:val="en-US" w:eastAsia="ar-SA"/>
            </w:rPr>
            <w:t>DC</w:t>
          </w:r>
        </w:smartTag>
      </w:smartTag>
      <w:r w:rsidRPr="00320392">
        <w:rPr>
          <w:rFonts w:ascii="Arial" w:hAnsi="Arial"/>
          <w:sz w:val="22"/>
          <w:szCs w:val="22"/>
          <w:lang w:val="en-US" w:eastAsia="ar-SA"/>
        </w:rPr>
        <w:t>.  Fungal invasion of normally non-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phagocytic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host cells.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PLoS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Pathog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. 2(12): 129, 2006. Review.  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 w:eastAsia="ar-SA"/>
        </w:rPr>
      </w:pPr>
      <w:r w:rsidRPr="00320392">
        <w:rPr>
          <w:rFonts w:ascii="Arial" w:hAnsi="Arial"/>
          <w:sz w:val="22"/>
          <w:szCs w:val="22"/>
          <w:lang w:val="en-US" w:eastAsia="ar-SA"/>
        </w:rPr>
        <w:t xml:space="preserve">Giles SS,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Stajich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JE, Nichols C,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Gerrald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QD,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Alspaugh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JA, Dietrich F, Perfect JR. The Cryptococcus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neoformans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catalase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gene family and its role in antioxidant defense.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Eukaryot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Cell. 2006 Sep</w:t>
      </w:r>
      <w:proofErr w:type="gramStart"/>
      <w:r w:rsidRPr="00320392">
        <w:rPr>
          <w:rFonts w:ascii="Arial" w:hAnsi="Arial"/>
          <w:sz w:val="22"/>
          <w:szCs w:val="22"/>
          <w:lang w:val="en-US" w:eastAsia="ar-SA"/>
        </w:rPr>
        <w:t>;5</w:t>
      </w:r>
      <w:proofErr w:type="gramEnd"/>
      <w:r w:rsidRPr="00320392">
        <w:rPr>
          <w:rFonts w:ascii="Arial" w:hAnsi="Arial"/>
          <w:sz w:val="22"/>
          <w:szCs w:val="22"/>
          <w:lang w:val="en-US" w:eastAsia="ar-SA"/>
        </w:rPr>
        <w:t xml:space="preserve">(9):1447-59.   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320392">
        <w:rPr>
          <w:rFonts w:ascii="Arial" w:hAnsi="Arial"/>
          <w:sz w:val="22"/>
          <w:szCs w:val="22"/>
          <w:lang w:val="en-US"/>
        </w:rPr>
        <w:t>Harriott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MM,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Noverr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MC. Importance of Candida-bacterial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polymicrobial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biofilms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in disease. Trends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Microbiol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>. 2011</w:t>
      </w:r>
      <w:proofErr w:type="gramStart"/>
      <w:r w:rsidRPr="00320392">
        <w:rPr>
          <w:rFonts w:ascii="Arial" w:hAnsi="Arial"/>
          <w:sz w:val="22"/>
          <w:szCs w:val="22"/>
          <w:lang w:val="en-US"/>
        </w:rPr>
        <w:t>;19</w:t>
      </w:r>
      <w:proofErr w:type="gramEnd"/>
      <w:r w:rsidRPr="00320392">
        <w:rPr>
          <w:rFonts w:ascii="Arial" w:hAnsi="Arial"/>
          <w:sz w:val="22"/>
          <w:szCs w:val="22"/>
          <w:lang w:val="en-US"/>
        </w:rPr>
        <w:t>(11):557-63.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/>
        </w:rPr>
      </w:pPr>
      <w:r w:rsidRPr="00320392">
        <w:rPr>
          <w:rFonts w:ascii="Arial" w:hAnsi="Arial"/>
          <w:sz w:val="22"/>
          <w:szCs w:val="22"/>
          <w:lang w:val="en-US"/>
        </w:rPr>
        <w:t xml:space="preserve">Hiller E,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Zavrel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M, Hauser N,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Sohn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K, Burger-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Kentischer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A,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Lemuth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K, Rupp S. Adaptation, adhesion and invasion during interaction of Candida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albicans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with the host--focus on the function of cell wall proteins.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Int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J Med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Microbiol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>. 2011</w:t>
      </w:r>
      <w:proofErr w:type="gramStart"/>
      <w:r w:rsidRPr="00320392">
        <w:rPr>
          <w:rFonts w:ascii="Arial" w:hAnsi="Arial"/>
          <w:sz w:val="22"/>
          <w:szCs w:val="22"/>
          <w:lang w:val="en-US"/>
        </w:rPr>
        <w:t>;301</w:t>
      </w:r>
      <w:proofErr w:type="gramEnd"/>
      <w:r w:rsidRPr="00320392">
        <w:rPr>
          <w:rFonts w:ascii="Arial" w:hAnsi="Arial"/>
          <w:sz w:val="22"/>
          <w:szCs w:val="22"/>
          <w:lang w:val="en-US"/>
        </w:rPr>
        <w:t xml:space="preserve">(5):384-9. </w:t>
      </w:r>
      <w:r w:rsidRPr="00320392">
        <w:rPr>
          <w:rFonts w:ascii="Arial" w:hAnsi="Arial"/>
          <w:sz w:val="22"/>
          <w:szCs w:val="22"/>
          <w:lang w:val="en-US"/>
        </w:rPr>
        <w:t>Review.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320392">
        <w:rPr>
          <w:rFonts w:ascii="Arial" w:hAnsi="Arial"/>
          <w:sz w:val="22"/>
          <w:szCs w:val="22"/>
          <w:lang w:val="en-US"/>
        </w:rPr>
        <w:t>Kniemeyer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O, Schmidt AD,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Vödisch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M,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Wartenberg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D,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Brakhage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AA. Identification of virulence determinants of the human pathogenic fungi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Aspergillus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fumigatus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and Candida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albicans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by proteomics.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Int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J Med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Microbiol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>. 2011</w:t>
      </w:r>
      <w:proofErr w:type="gramStart"/>
      <w:r w:rsidRPr="00320392">
        <w:rPr>
          <w:rFonts w:ascii="Arial" w:hAnsi="Arial"/>
          <w:sz w:val="22"/>
          <w:szCs w:val="22"/>
          <w:lang w:val="en-US"/>
        </w:rPr>
        <w:t>;301</w:t>
      </w:r>
      <w:proofErr w:type="gramEnd"/>
      <w:r w:rsidRPr="00320392">
        <w:rPr>
          <w:rFonts w:ascii="Arial" w:hAnsi="Arial"/>
          <w:sz w:val="22"/>
          <w:szCs w:val="22"/>
          <w:lang w:val="en-US"/>
        </w:rPr>
        <w:t>(5):368-77. Review.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 w:eastAsia="ar-SA"/>
        </w:rPr>
      </w:pPr>
      <w:r w:rsidRPr="00320392">
        <w:rPr>
          <w:rFonts w:ascii="Arial" w:hAnsi="Arial"/>
          <w:sz w:val="22"/>
          <w:szCs w:val="22"/>
          <w:lang w:val="en-US" w:eastAsia="ar-SA"/>
        </w:rPr>
        <w:t xml:space="preserve">Lin X, Huang JC, Mitchell TG,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Heitman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J. Virulence attributes and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hyphal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growth of C.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neoformans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are quantitative traits and the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MATalpha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allele enhances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filamentation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.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PLoS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Genet. 17</w:t>
      </w:r>
      <w:proofErr w:type="gramStart"/>
      <w:r w:rsidRPr="00320392">
        <w:rPr>
          <w:rFonts w:ascii="Arial" w:hAnsi="Arial"/>
          <w:sz w:val="22"/>
          <w:szCs w:val="22"/>
          <w:lang w:val="en-US" w:eastAsia="ar-SA"/>
        </w:rPr>
        <w:t>;2</w:t>
      </w:r>
      <w:proofErr w:type="gramEnd"/>
      <w:r w:rsidRPr="00320392">
        <w:rPr>
          <w:rFonts w:ascii="Arial" w:hAnsi="Arial"/>
          <w:sz w:val="22"/>
          <w:szCs w:val="22"/>
          <w:lang w:val="en-US" w:eastAsia="ar-SA"/>
        </w:rPr>
        <w:t xml:space="preserve">(11):e187, 2006. 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 w:eastAsia="ar-SA"/>
        </w:rPr>
      </w:pPr>
      <w:r w:rsidRPr="00320392">
        <w:rPr>
          <w:rFonts w:ascii="Arial" w:hAnsi="Arial"/>
          <w:sz w:val="22"/>
          <w:szCs w:val="22"/>
          <w:lang w:val="en-US"/>
        </w:rPr>
        <w:lastRenderedPageBreak/>
        <w:t xml:space="preserve">Lee IR, Morrow CA, Fraser JA. Nitrogen regulation of virulence in clinically prevalent fungal pathogens. FEMS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Microbiol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Lett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>. 2013; 345(2):77-84.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 w:eastAsia="ar-SA"/>
        </w:rPr>
      </w:pPr>
      <w:r w:rsidRPr="00320392">
        <w:rPr>
          <w:rFonts w:ascii="Arial" w:hAnsi="Arial"/>
          <w:sz w:val="22"/>
          <w:szCs w:val="22"/>
          <w:lang w:val="en-US" w:eastAsia="ar-SA"/>
        </w:rPr>
        <w:t xml:space="preserve">Liu Y, Filler SG. Candida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albicans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Als3, a multifunctional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adhesin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and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invasin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.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Eukaryot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Cell. 2011 Feb</w:t>
      </w:r>
      <w:proofErr w:type="gramStart"/>
      <w:r w:rsidRPr="00320392">
        <w:rPr>
          <w:rFonts w:ascii="Arial" w:hAnsi="Arial"/>
          <w:sz w:val="22"/>
          <w:szCs w:val="22"/>
          <w:lang w:val="en-US" w:eastAsia="ar-SA"/>
        </w:rPr>
        <w:t>;10</w:t>
      </w:r>
      <w:proofErr w:type="gramEnd"/>
      <w:r w:rsidRPr="00320392">
        <w:rPr>
          <w:rFonts w:ascii="Arial" w:hAnsi="Arial"/>
          <w:sz w:val="22"/>
          <w:szCs w:val="22"/>
          <w:lang w:val="en-US" w:eastAsia="ar-SA"/>
        </w:rPr>
        <w:t xml:space="preserve">(2):168-73.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Epub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2010 Nov 29. Review.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 w:eastAsia="ar-SA"/>
        </w:rPr>
      </w:pPr>
      <w:proofErr w:type="spellStart"/>
      <w:r w:rsidRPr="00320392">
        <w:rPr>
          <w:rFonts w:ascii="Arial" w:hAnsi="Arial"/>
          <w:sz w:val="22"/>
          <w:szCs w:val="22"/>
          <w:lang w:val="en-US"/>
        </w:rPr>
        <w:t>Lüttich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A,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Brunke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S,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Hube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B, Jacobsen ID. Serial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passaging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of Candida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albicans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in systemic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murine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infection suggests that the wild type strain SC5314 is well adapted to the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murine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kidney.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PLoS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One. 2013.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320392">
        <w:rPr>
          <w:rFonts w:ascii="Arial" w:hAnsi="Arial"/>
          <w:sz w:val="22"/>
          <w:szCs w:val="22"/>
          <w:lang w:val="en-US"/>
        </w:rPr>
        <w:t>Negri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M, Silva S,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Henriques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M, Oliveira R. Insights into Candida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tropicalis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nosocomial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infections and virulence factors.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Eur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J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Clin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Microbiol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Infect Dis. 2011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/>
        </w:rPr>
      </w:pPr>
      <w:r w:rsidRPr="00320392">
        <w:rPr>
          <w:rFonts w:ascii="Arial" w:hAnsi="Arial"/>
          <w:sz w:val="22"/>
          <w:szCs w:val="22"/>
          <w:lang w:val="en-US"/>
        </w:rPr>
        <w:t>Pappas PG. Opportunistic fungi: a view to the future. Am J Med Sci. 2010</w:t>
      </w:r>
      <w:proofErr w:type="gramStart"/>
      <w:r w:rsidRPr="00320392">
        <w:rPr>
          <w:rFonts w:ascii="Arial" w:hAnsi="Arial"/>
          <w:sz w:val="22"/>
          <w:szCs w:val="22"/>
          <w:lang w:val="en-US"/>
        </w:rPr>
        <w:t>;340</w:t>
      </w:r>
      <w:proofErr w:type="gramEnd"/>
      <w:r w:rsidRPr="00320392">
        <w:rPr>
          <w:rFonts w:ascii="Arial" w:hAnsi="Arial"/>
          <w:sz w:val="22"/>
          <w:szCs w:val="22"/>
          <w:lang w:val="en-US"/>
        </w:rPr>
        <w:t>(3):253-7. Review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/>
        </w:rPr>
      </w:pPr>
      <w:r w:rsidRPr="00320392">
        <w:rPr>
          <w:rFonts w:ascii="Arial" w:hAnsi="Arial"/>
          <w:sz w:val="22"/>
          <w:szCs w:val="22"/>
          <w:lang w:val="en-US"/>
        </w:rPr>
        <w:t xml:space="preserve">Park M, Do E, Jung WH.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Lipolytic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enzymes involved in the virulence of human pathogenic fungi.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Mycobiology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>. 2013; 41(2):67-72. 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320392">
        <w:rPr>
          <w:rFonts w:ascii="Arial" w:hAnsi="Arial"/>
          <w:sz w:val="22"/>
          <w:szCs w:val="22"/>
          <w:lang w:val="en-US"/>
        </w:rPr>
        <w:t>Ramage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G,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Mowat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E, Jones B, Williams C, Lopez-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Ribot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J. Our current understanding of fungal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biofilms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.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Crit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Rev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Microbiol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>. 2009</w:t>
      </w:r>
      <w:proofErr w:type="gramStart"/>
      <w:r w:rsidRPr="00320392">
        <w:rPr>
          <w:rFonts w:ascii="Arial" w:hAnsi="Arial"/>
          <w:sz w:val="22"/>
          <w:szCs w:val="22"/>
          <w:lang w:val="en-US"/>
        </w:rPr>
        <w:t>;35</w:t>
      </w:r>
      <w:proofErr w:type="gramEnd"/>
      <w:r w:rsidRPr="00320392">
        <w:rPr>
          <w:rFonts w:ascii="Arial" w:hAnsi="Arial"/>
          <w:sz w:val="22"/>
          <w:szCs w:val="22"/>
          <w:lang w:val="en-US"/>
        </w:rPr>
        <w:t>(4):340-55. Review.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 w:eastAsia="ar-SA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320392">
            <w:rPr>
              <w:rFonts w:ascii="Arial" w:hAnsi="Arial"/>
              <w:sz w:val="22"/>
              <w:szCs w:val="22"/>
              <w:lang w:val="en-US" w:eastAsia="ar-SA"/>
            </w:rPr>
            <w:t>Rappleye</w:t>
          </w:r>
        </w:smartTag>
        <w:proofErr w:type="spellEnd"/>
        <w:r w:rsidRPr="00320392">
          <w:rPr>
            <w:rFonts w:ascii="Arial" w:hAnsi="Arial"/>
            <w:sz w:val="22"/>
            <w:szCs w:val="22"/>
            <w:lang w:val="en-US" w:eastAsia="ar-SA"/>
          </w:rPr>
          <w:t xml:space="preserve"> </w:t>
        </w:r>
        <w:smartTag w:uri="urn:schemas-microsoft-com:office:smarttags" w:element="State">
          <w:r w:rsidRPr="00320392">
            <w:rPr>
              <w:rFonts w:ascii="Arial" w:hAnsi="Arial"/>
              <w:sz w:val="22"/>
              <w:szCs w:val="22"/>
              <w:lang w:val="en-US" w:eastAsia="ar-SA"/>
            </w:rPr>
            <w:t>CA</w:t>
          </w:r>
        </w:smartTag>
      </w:smartTag>
      <w:r w:rsidRPr="00320392">
        <w:rPr>
          <w:rFonts w:ascii="Arial" w:hAnsi="Arial"/>
          <w:sz w:val="22"/>
          <w:szCs w:val="22"/>
          <w:lang w:val="en-US" w:eastAsia="ar-SA"/>
        </w:rPr>
        <w:t xml:space="preserve">, Goldman WE.  Defining virulence genes in the dimorphic fungi.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Annu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Rev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Microbiol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>. 2006</w:t>
      </w:r>
      <w:proofErr w:type="gramStart"/>
      <w:r w:rsidRPr="00320392">
        <w:rPr>
          <w:rFonts w:ascii="Arial" w:hAnsi="Arial"/>
          <w:sz w:val="22"/>
          <w:szCs w:val="22"/>
          <w:lang w:val="en-US" w:eastAsia="ar-SA"/>
        </w:rPr>
        <w:t>;60:281</w:t>
      </w:r>
      <w:proofErr w:type="gramEnd"/>
      <w:r w:rsidRPr="00320392">
        <w:rPr>
          <w:rFonts w:ascii="Arial" w:hAnsi="Arial"/>
          <w:sz w:val="22"/>
          <w:szCs w:val="22"/>
          <w:lang w:val="en-US" w:eastAsia="ar-SA"/>
        </w:rPr>
        <w:t xml:space="preserve">-303. Review. 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320392">
        <w:rPr>
          <w:rFonts w:ascii="Arial" w:hAnsi="Arial"/>
          <w:sz w:val="22"/>
          <w:szCs w:val="22"/>
          <w:lang w:val="en-US"/>
        </w:rPr>
        <w:t>Revankar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SG, Sutton DA.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Melanized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fungi in human disease.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Clin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Microbiol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Rev. 2010</w:t>
      </w:r>
      <w:proofErr w:type="gramStart"/>
      <w:r w:rsidRPr="00320392">
        <w:rPr>
          <w:rFonts w:ascii="Arial" w:hAnsi="Arial"/>
          <w:sz w:val="22"/>
          <w:szCs w:val="22"/>
          <w:lang w:val="en-US"/>
        </w:rPr>
        <w:t>;23</w:t>
      </w:r>
      <w:proofErr w:type="gramEnd"/>
      <w:r w:rsidRPr="00320392">
        <w:rPr>
          <w:rFonts w:ascii="Arial" w:hAnsi="Arial"/>
          <w:sz w:val="22"/>
          <w:szCs w:val="22"/>
          <w:lang w:val="en-US"/>
        </w:rPr>
        <w:t>(4):884-928. Review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 w:eastAsia="ar-SA"/>
        </w:rPr>
      </w:pP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Saville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SP,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Lazzell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AL, Bryant AP,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Fretzen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A,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Monreal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A, Solberg EO,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Monteagudo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C, Lopez-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Ribot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JL, Milne GT. Inhibition of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filamentation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can be used to treat disseminated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candidiasis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.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Antimicrob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 Agents </w:t>
      </w:r>
      <w:proofErr w:type="spellStart"/>
      <w:r w:rsidRPr="00320392">
        <w:rPr>
          <w:rFonts w:ascii="Arial" w:hAnsi="Arial"/>
          <w:sz w:val="22"/>
          <w:szCs w:val="22"/>
          <w:lang w:val="en-US" w:eastAsia="ar-SA"/>
        </w:rPr>
        <w:t>Chemother</w:t>
      </w:r>
      <w:proofErr w:type="spellEnd"/>
      <w:r w:rsidRPr="00320392">
        <w:rPr>
          <w:rFonts w:ascii="Arial" w:hAnsi="Arial"/>
          <w:sz w:val="22"/>
          <w:szCs w:val="22"/>
          <w:lang w:val="en-US" w:eastAsia="ar-SA"/>
        </w:rPr>
        <w:t xml:space="preserve">. 50(10):3312-6, 2006.  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/>
        </w:rPr>
      </w:pPr>
      <w:r w:rsidRPr="00320392">
        <w:rPr>
          <w:rFonts w:ascii="Arial" w:hAnsi="Arial"/>
          <w:sz w:val="22"/>
          <w:szCs w:val="22"/>
          <w:lang w:val="en-US"/>
        </w:rPr>
        <w:t xml:space="preserve">Shapiro RS, Cowen L. Coupling temperature sensing and development: Hsp90 regulates morphogenetic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signalling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in Candida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albicans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>. Virulence. 2010</w:t>
      </w:r>
      <w:proofErr w:type="gramStart"/>
      <w:r w:rsidRPr="00320392">
        <w:rPr>
          <w:rFonts w:ascii="Arial" w:hAnsi="Arial"/>
          <w:sz w:val="22"/>
          <w:szCs w:val="22"/>
          <w:lang w:val="en-US"/>
        </w:rPr>
        <w:t>;1</w:t>
      </w:r>
      <w:proofErr w:type="gramEnd"/>
      <w:r w:rsidRPr="00320392">
        <w:rPr>
          <w:rFonts w:ascii="Arial" w:hAnsi="Arial"/>
          <w:sz w:val="22"/>
          <w:szCs w:val="22"/>
          <w:lang w:val="en-US"/>
        </w:rPr>
        <w:t>(1):45-8. Review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 w:val="en-US"/>
        </w:rPr>
      </w:pPr>
      <w:r w:rsidRPr="00320392">
        <w:rPr>
          <w:rFonts w:ascii="Arial" w:hAnsi="Arial"/>
          <w:sz w:val="22"/>
          <w:szCs w:val="22"/>
          <w:lang w:val="en-US"/>
        </w:rPr>
        <w:t xml:space="preserve">Silva S,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Negri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M,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Henriques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M, Oliveira R, Williams DW,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Azeredo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J. Adherence and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biofilm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formation of non-Candida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albicans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Candida species. Trends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Microbiol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>. 2011</w:t>
      </w:r>
      <w:proofErr w:type="gramStart"/>
      <w:r w:rsidRPr="00320392">
        <w:rPr>
          <w:rFonts w:ascii="Arial" w:hAnsi="Arial"/>
          <w:sz w:val="22"/>
          <w:szCs w:val="22"/>
          <w:lang w:val="en-US"/>
        </w:rPr>
        <w:t>;19</w:t>
      </w:r>
      <w:proofErr w:type="gramEnd"/>
      <w:r w:rsidRPr="00320392">
        <w:rPr>
          <w:rFonts w:ascii="Arial" w:hAnsi="Arial"/>
          <w:sz w:val="22"/>
          <w:szCs w:val="22"/>
          <w:lang w:val="en-US"/>
        </w:rPr>
        <w:t xml:space="preserve">(5):241-7.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Epub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2011. Review.</w:t>
      </w:r>
    </w:p>
    <w:p w:rsidR="00A2505E" w:rsidRPr="00320392" w:rsidRDefault="00A2505E" w:rsidP="00CB3B89">
      <w:pPr>
        <w:numPr>
          <w:ilvl w:val="0"/>
          <w:numId w:val="3"/>
        </w:numPr>
        <w:tabs>
          <w:tab w:val="num" w:pos="284"/>
        </w:tabs>
        <w:ind w:left="284" w:right="-427" w:hanging="284"/>
        <w:jc w:val="both"/>
        <w:rPr>
          <w:rFonts w:ascii="Arial" w:hAnsi="Arial"/>
          <w:sz w:val="22"/>
          <w:szCs w:val="22"/>
          <w:lang/>
        </w:rPr>
      </w:pPr>
      <w:proofErr w:type="spellStart"/>
      <w:r w:rsidRPr="00320392">
        <w:rPr>
          <w:rFonts w:ascii="Arial" w:hAnsi="Arial"/>
          <w:sz w:val="22"/>
          <w:szCs w:val="22"/>
          <w:lang w:val="en-US"/>
        </w:rPr>
        <w:t>Vediyappan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G,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Dumontet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V,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Pelissier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F,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d'Enfert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C.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Gymnemic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Acids Inhibit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Hyphal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 xml:space="preserve"> Growth and Virulence in Candida </w:t>
      </w:r>
      <w:proofErr w:type="spellStart"/>
      <w:r w:rsidRPr="00320392">
        <w:rPr>
          <w:rFonts w:ascii="Arial" w:hAnsi="Arial"/>
          <w:sz w:val="22"/>
          <w:szCs w:val="22"/>
          <w:lang w:val="en-US"/>
        </w:rPr>
        <w:t>albicans</w:t>
      </w:r>
      <w:proofErr w:type="spellEnd"/>
      <w:r w:rsidRPr="00320392">
        <w:rPr>
          <w:rFonts w:ascii="Arial" w:hAnsi="Arial"/>
          <w:sz w:val="22"/>
          <w:szCs w:val="22"/>
          <w:lang w:val="en-US"/>
        </w:rPr>
        <w:t>.</w:t>
      </w:r>
      <w:r w:rsidRPr="00320392">
        <w:rPr>
          <w:rStyle w:val="apple-converted-space"/>
          <w:rFonts w:ascii="Arial" w:hAnsi="Arial"/>
          <w:sz w:val="22"/>
          <w:szCs w:val="22"/>
          <w:lang w:val="en-US"/>
        </w:rPr>
        <w:t> </w:t>
      </w:r>
      <w:proofErr w:type="spellStart"/>
      <w:proofErr w:type="gramStart"/>
      <w:r w:rsidRPr="00320392">
        <w:rPr>
          <w:rFonts w:ascii="Arial" w:hAnsi="Arial"/>
          <w:sz w:val="22"/>
          <w:szCs w:val="22"/>
        </w:rPr>
        <w:t>PLoS</w:t>
      </w:r>
      <w:proofErr w:type="spellEnd"/>
      <w:proofErr w:type="gramEnd"/>
      <w:r w:rsidRPr="00320392">
        <w:rPr>
          <w:rFonts w:ascii="Arial" w:hAnsi="Arial"/>
          <w:sz w:val="22"/>
          <w:szCs w:val="22"/>
        </w:rPr>
        <w:t xml:space="preserve"> </w:t>
      </w:r>
      <w:proofErr w:type="spellStart"/>
      <w:r w:rsidRPr="00320392">
        <w:rPr>
          <w:rFonts w:ascii="Arial" w:hAnsi="Arial"/>
          <w:sz w:val="22"/>
          <w:szCs w:val="22"/>
        </w:rPr>
        <w:t>One</w:t>
      </w:r>
      <w:proofErr w:type="spellEnd"/>
      <w:r w:rsidRPr="00320392">
        <w:rPr>
          <w:rFonts w:ascii="Arial" w:hAnsi="Arial"/>
          <w:sz w:val="22"/>
          <w:szCs w:val="22"/>
        </w:rPr>
        <w:t xml:space="preserve">. 2013 </w:t>
      </w:r>
      <w:proofErr w:type="gramStart"/>
      <w:r w:rsidRPr="00320392">
        <w:rPr>
          <w:rFonts w:ascii="Arial" w:hAnsi="Arial"/>
          <w:sz w:val="22"/>
          <w:szCs w:val="22"/>
        </w:rPr>
        <w:t>11;</w:t>
      </w:r>
      <w:proofErr w:type="gramEnd"/>
      <w:r w:rsidRPr="00320392">
        <w:rPr>
          <w:rFonts w:ascii="Arial" w:hAnsi="Arial"/>
          <w:sz w:val="22"/>
          <w:szCs w:val="22"/>
        </w:rPr>
        <w:t>8(9):e74189</w:t>
      </w:r>
      <w:r w:rsidRPr="00320392">
        <w:rPr>
          <w:rFonts w:ascii="Arial" w:hAnsi="Arial" w:cs="Arial"/>
          <w:sz w:val="22"/>
          <w:szCs w:val="22"/>
        </w:rPr>
        <w:t>.</w:t>
      </w:r>
    </w:p>
    <w:p w:rsidR="00A2505E" w:rsidRPr="00A2505E" w:rsidRDefault="00A2505E" w:rsidP="00CB3B89">
      <w:pPr>
        <w:pStyle w:val="western"/>
        <w:spacing w:after="0"/>
        <w:ind w:right="-427"/>
        <w:jc w:val="both"/>
        <w:rPr>
          <w:rFonts w:ascii="Arial" w:hAnsi="Arial"/>
          <w:sz w:val="20"/>
          <w:lang w:val="en-US"/>
        </w:rPr>
      </w:pPr>
    </w:p>
    <w:p w:rsidR="00A2505E" w:rsidRPr="00A2505E" w:rsidRDefault="00A2505E" w:rsidP="00CB3B89">
      <w:pPr>
        <w:spacing w:before="40"/>
        <w:ind w:right="-427"/>
        <w:jc w:val="both"/>
        <w:rPr>
          <w:rFonts w:ascii="Arial" w:hAnsi="Arial"/>
          <w:b/>
          <w:sz w:val="20"/>
          <w:szCs w:val="24"/>
          <w:lang/>
        </w:rPr>
      </w:pPr>
      <w:bookmarkStart w:id="0" w:name="_GoBack"/>
      <w:bookmarkEnd w:id="0"/>
      <w:r w:rsidRPr="00A2505E">
        <w:rPr>
          <w:rFonts w:ascii="Arial" w:hAnsi="Arial"/>
          <w:b/>
          <w:sz w:val="20"/>
          <w:szCs w:val="24"/>
          <w:lang/>
        </w:rPr>
        <w:t>REVISTAS ESPECIALIZADAS SOBRE O ASSUNTO</w:t>
      </w:r>
    </w:p>
    <w:p w:rsidR="00A2505E" w:rsidRPr="00CB3B89" w:rsidRDefault="00A2505E" w:rsidP="00CB3B89">
      <w:pPr>
        <w:numPr>
          <w:ilvl w:val="0"/>
          <w:numId w:val="4"/>
        </w:numPr>
        <w:suppressAutoHyphens/>
        <w:spacing w:before="40"/>
        <w:ind w:right="-427"/>
        <w:jc w:val="both"/>
        <w:rPr>
          <w:rFonts w:ascii="Arial" w:hAnsi="Arial"/>
          <w:sz w:val="22"/>
          <w:szCs w:val="22"/>
          <w:lang/>
        </w:rPr>
      </w:pPr>
      <w:r w:rsidRPr="00CB3B89">
        <w:rPr>
          <w:rFonts w:ascii="Arial" w:hAnsi="Arial"/>
          <w:sz w:val="22"/>
          <w:szCs w:val="22"/>
          <w:lang/>
        </w:rPr>
        <w:t xml:space="preserve">FEMS </w:t>
      </w:r>
      <w:proofErr w:type="spellStart"/>
      <w:r w:rsidRPr="00CB3B89">
        <w:rPr>
          <w:rFonts w:ascii="Arial" w:hAnsi="Arial"/>
          <w:sz w:val="22"/>
          <w:szCs w:val="22"/>
          <w:lang/>
        </w:rPr>
        <w:t>Microbiology</w:t>
      </w:r>
      <w:proofErr w:type="spellEnd"/>
      <w:r w:rsidRPr="00CB3B89">
        <w:rPr>
          <w:rFonts w:ascii="Arial" w:hAnsi="Arial"/>
          <w:sz w:val="22"/>
          <w:szCs w:val="22"/>
          <w:lang/>
        </w:rPr>
        <w:t xml:space="preserve"> </w:t>
      </w:r>
      <w:proofErr w:type="spellStart"/>
      <w:r w:rsidRPr="00CB3B89">
        <w:rPr>
          <w:rFonts w:ascii="Arial" w:hAnsi="Arial"/>
          <w:sz w:val="22"/>
          <w:szCs w:val="22"/>
          <w:lang/>
        </w:rPr>
        <w:t>Reviews</w:t>
      </w:r>
      <w:proofErr w:type="spellEnd"/>
    </w:p>
    <w:p w:rsidR="00A2505E" w:rsidRPr="00CB3B89" w:rsidRDefault="00A2505E" w:rsidP="00CB3B89">
      <w:pPr>
        <w:numPr>
          <w:ilvl w:val="0"/>
          <w:numId w:val="4"/>
        </w:numPr>
        <w:suppressAutoHyphens/>
        <w:spacing w:before="40"/>
        <w:ind w:right="-427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CB3B89">
        <w:rPr>
          <w:rFonts w:ascii="Arial" w:hAnsi="Arial"/>
          <w:sz w:val="22"/>
          <w:szCs w:val="22"/>
          <w:lang/>
        </w:rPr>
        <w:t>Journal</w:t>
      </w:r>
      <w:proofErr w:type="spellEnd"/>
      <w:r w:rsidRPr="00CB3B89">
        <w:rPr>
          <w:rFonts w:ascii="Arial" w:hAnsi="Arial"/>
          <w:sz w:val="22"/>
          <w:szCs w:val="22"/>
          <w:lang/>
        </w:rPr>
        <w:t xml:space="preserve"> </w:t>
      </w:r>
      <w:proofErr w:type="spellStart"/>
      <w:r w:rsidRPr="00CB3B89">
        <w:rPr>
          <w:rFonts w:ascii="Arial" w:hAnsi="Arial"/>
          <w:sz w:val="22"/>
          <w:szCs w:val="22"/>
          <w:lang/>
        </w:rPr>
        <w:t>Clinical</w:t>
      </w:r>
      <w:proofErr w:type="spellEnd"/>
      <w:r w:rsidRPr="00CB3B89">
        <w:rPr>
          <w:rFonts w:ascii="Arial" w:hAnsi="Arial"/>
          <w:sz w:val="22"/>
          <w:szCs w:val="22"/>
          <w:lang/>
        </w:rPr>
        <w:t xml:space="preserve"> </w:t>
      </w:r>
      <w:r w:rsidRPr="00CB3B89">
        <w:rPr>
          <w:rFonts w:ascii="Arial" w:hAnsi="Arial"/>
          <w:sz w:val="22"/>
          <w:szCs w:val="22"/>
          <w:lang w:val="en-US"/>
        </w:rPr>
        <w:t>Microbiology</w:t>
      </w:r>
    </w:p>
    <w:p w:rsidR="00A2505E" w:rsidRPr="00CB3B89" w:rsidRDefault="00A2505E" w:rsidP="00CB3B89">
      <w:pPr>
        <w:numPr>
          <w:ilvl w:val="0"/>
          <w:numId w:val="4"/>
        </w:numPr>
        <w:suppressAutoHyphens/>
        <w:spacing w:before="40"/>
        <w:ind w:right="-427"/>
        <w:jc w:val="both"/>
        <w:rPr>
          <w:rFonts w:ascii="Arial" w:hAnsi="Arial"/>
          <w:sz w:val="22"/>
          <w:szCs w:val="22"/>
          <w:lang w:val="en-US"/>
        </w:rPr>
      </w:pPr>
      <w:r w:rsidRPr="00CB3B89">
        <w:rPr>
          <w:rFonts w:ascii="Arial" w:hAnsi="Arial"/>
          <w:sz w:val="22"/>
          <w:szCs w:val="22"/>
          <w:lang w:val="en-US"/>
        </w:rPr>
        <w:t>Medical Mycology</w:t>
      </w:r>
    </w:p>
    <w:p w:rsidR="00A2505E" w:rsidRPr="00CB3B89" w:rsidRDefault="00A2505E" w:rsidP="00CB3B89">
      <w:pPr>
        <w:numPr>
          <w:ilvl w:val="0"/>
          <w:numId w:val="4"/>
        </w:numPr>
        <w:suppressAutoHyphens/>
        <w:spacing w:before="40"/>
        <w:ind w:right="-427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CB3B89">
        <w:rPr>
          <w:rFonts w:ascii="Arial" w:hAnsi="Arial"/>
          <w:sz w:val="22"/>
          <w:szCs w:val="22"/>
          <w:lang w:val="en-US"/>
        </w:rPr>
        <w:t>Mycopathologia</w:t>
      </w:r>
      <w:proofErr w:type="spellEnd"/>
    </w:p>
    <w:p w:rsidR="00A2505E" w:rsidRDefault="00A2505E" w:rsidP="00320392">
      <w:pPr>
        <w:numPr>
          <w:ilvl w:val="0"/>
          <w:numId w:val="4"/>
        </w:numPr>
        <w:suppressAutoHyphens/>
        <w:spacing w:before="40"/>
        <w:jc w:val="both"/>
        <w:rPr>
          <w:rFonts w:ascii="Arial" w:hAnsi="Arial"/>
          <w:sz w:val="20"/>
          <w:szCs w:val="24"/>
          <w:lang w:val="en-US" w:eastAsia="ar-SA"/>
        </w:rPr>
      </w:pPr>
      <w:r w:rsidRPr="00CB3B89">
        <w:rPr>
          <w:rFonts w:ascii="Arial" w:hAnsi="Arial"/>
          <w:sz w:val="22"/>
          <w:szCs w:val="22"/>
          <w:lang w:val="en-US"/>
        </w:rPr>
        <w:t>Review of Clinical Microbiology</w:t>
      </w:r>
    </w:p>
    <w:p w:rsidR="000E3664" w:rsidRDefault="000E3664" w:rsidP="000E3664">
      <w:pPr>
        <w:suppressAutoHyphens/>
        <w:spacing w:before="40"/>
        <w:jc w:val="both"/>
        <w:rPr>
          <w:rFonts w:ascii="Arial" w:hAnsi="Arial"/>
          <w:sz w:val="20"/>
          <w:szCs w:val="24"/>
          <w:lang w:val="en-US"/>
        </w:rPr>
      </w:pPr>
    </w:p>
    <w:p w:rsidR="000E3664" w:rsidRDefault="000E3664" w:rsidP="000E3664">
      <w:pPr>
        <w:rPr>
          <w:rFonts w:ascii="Arial" w:hAnsi="Arial" w:cs="Arial"/>
        </w:rPr>
      </w:pPr>
    </w:p>
    <w:tbl>
      <w:tblPr>
        <w:tblW w:w="8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27303" w:rsidTr="00F27303">
        <w:tc>
          <w:tcPr>
            <w:tcW w:w="8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F27303" w:rsidRDefault="00F27303" w:rsidP="00A96C81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  <w:tr w:rsidR="000E3664" w:rsidRPr="00BC1747" w:rsidTr="00F2730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4" w:type="dxa"/>
          </w:tcPr>
          <w:p w:rsidR="000E3664" w:rsidRPr="00BC1747" w:rsidRDefault="000E3664" w:rsidP="000E366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C1747">
              <w:rPr>
                <w:rFonts w:ascii="Arial" w:hAnsi="Arial" w:cs="Arial"/>
              </w:rPr>
              <w:t>1ª</w:t>
            </w:r>
          </w:p>
        </w:tc>
      </w:tr>
      <w:tr w:rsidR="000E3664" w:rsidRPr="00BC1747" w:rsidTr="00F2730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4" w:type="dxa"/>
          </w:tcPr>
          <w:p w:rsidR="000E3664" w:rsidRPr="00BC1747" w:rsidRDefault="000E3664" w:rsidP="000E366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BC1747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0E3664" w:rsidRPr="00BC1747" w:rsidTr="00F2730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4" w:type="dxa"/>
          </w:tcPr>
          <w:p w:rsidR="000E3664" w:rsidRPr="00BC1747" w:rsidRDefault="000E3664" w:rsidP="000E3664">
            <w:pPr>
              <w:spacing w:before="60" w:after="60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747">
              <w:rPr>
                <w:rFonts w:ascii="Arial" w:hAnsi="Arial" w:cs="Arial"/>
                <w:sz w:val="22"/>
                <w:szCs w:val="22"/>
              </w:rPr>
              <w:t xml:space="preserve">1ª - Os alunos serão avaliados continuamente pela iniciativa, participação na realização dos experimentos, discussão dos resultados e elaboração de relatório. Será atribuída uma nota com valor de </w:t>
            </w:r>
            <w:proofErr w:type="gramStart"/>
            <w:r w:rsidRPr="00BC1747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 w:rsidRPr="00BC1747">
              <w:rPr>
                <w:rFonts w:ascii="Arial" w:hAnsi="Arial" w:cs="Arial"/>
                <w:sz w:val="22"/>
                <w:szCs w:val="22"/>
              </w:rPr>
              <w:t xml:space="preserve"> (zero) a 10,0 (dez) pontos.</w:t>
            </w:r>
          </w:p>
          <w:p w:rsidR="000E3664" w:rsidRPr="00BC1747" w:rsidRDefault="000E3664" w:rsidP="000E3664">
            <w:pPr>
              <w:spacing w:before="60" w:after="60"/>
              <w:ind w:left="426" w:hanging="426"/>
              <w:jc w:val="both"/>
              <w:rPr>
                <w:rFonts w:ascii="Arial" w:hAnsi="Arial" w:cs="Arial"/>
              </w:rPr>
            </w:pPr>
          </w:p>
        </w:tc>
      </w:tr>
    </w:tbl>
    <w:p w:rsidR="000E3664" w:rsidRPr="00A2505E" w:rsidRDefault="000E3664" w:rsidP="00F27303">
      <w:pPr>
        <w:suppressAutoHyphens/>
        <w:spacing w:before="40"/>
        <w:jc w:val="both"/>
        <w:rPr>
          <w:rFonts w:ascii="Arial" w:hAnsi="Arial"/>
          <w:sz w:val="20"/>
          <w:szCs w:val="24"/>
          <w:lang w:val="en-US" w:eastAsia="ar-SA"/>
        </w:rPr>
      </w:pPr>
    </w:p>
    <w:sectPr w:rsidR="000E3664" w:rsidRPr="00A2505E" w:rsidSect="00F27303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1">
    <w:nsid w:val="13DA45BF"/>
    <w:multiLevelType w:val="multilevel"/>
    <w:tmpl w:val="E02C860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2">
    <w:nsid w:val="4BD86E3A"/>
    <w:multiLevelType w:val="hybridMultilevel"/>
    <w:tmpl w:val="08F29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4A1B93"/>
    <w:multiLevelType w:val="multilevel"/>
    <w:tmpl w:val="E02C860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  <w:rPr>
        <w:rFonts w:hint="default"/>
      </w:rPr>
    </w:lvl>
  </w:abstractNum>
  <w:abstractNum w:abstractNumId="4">
    <w:nsid w:val="724D5519"/>
    <w:multiLevelType w:val="multilevel"/>
    <w:tmpl w:val="E02C8606"/>
    <w:lvl w:ilvl="0">
      <w:start w:val="1"/>
      <w:numFmt w:val="bullet"/>
      <w:lvlText w:val=""/>
      <w:lvlJc w:val="left"/>
      <w:pPr>
        <w:tabs>
          <w:tab w:val="num" w:pos="426"/>
        </w:tabs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</w:pPr>
    </w:lvl>
    <w:lvl w:ilvl="2">
      <w:start w:val="1"/>
      <w:numFmt w:val="decimal"/>
      <w:lvlText w:val="%1.%2.%3."/>
      <w:lvlJc w:val="left"/>
      <w:pPr>
        <w:tabs>
          <w:tab w:val="num" w:pos="1290"/>
        </w:tabs>
      </w:pPr>
    </w:lvl>
    <w:lvl w:ilvl="3">
      <w:start w:val="1"/>
      <w:numFmt w:val="decimal"/>
      <w:lvlText w:val="%1.%2.%3.%4."/>
      <w:lvlJc w:val="left"/>
      <w:pPr>
        <w:tabs>
          <w:tab w:val="num" w:pos="1794"/>
        </w:tabs>
      </w:pPr>
    </w:lvl>
    <w:lvl w:ilvl="4">
      <w:start w:val="1"/>
      <w:numFmt w:val="decimal"/>
      <w:lvlText w:val="%1.%2.%3.%4.%5."/>
      <w:lvlJc w:val="left"/>
      <w:pPr>
        <w:tabs>
          <w:tab w:val="num" w:pos="2298"/>
        </w:tabs>
      </w:pPr>
    </w:lvl>
    <w:lvl w:ilvl="5">
      <w:start w:val="1"/>
      <w:numFmt w:val="decimal"/>
      <w:lvlText w:val="%1.%2.%3.%4.%5.%6."/>
      <w:lvlJc w:val="left"/>
      <w:pPr>
        <w:tabs>
          <w:tab w:val="num" w:pos="2802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30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81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86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2505E"/>
    <w:rsid w:val="000866C0"/>
    <w:rsid w:val="000E3664"/>
    <w:rsid w:val="00320392"/>
    <w:rsid w:val="005A6977"/>
    <w:rsid w:val="008279BC"/>
    <w:rsid w:val="00A2505E"/>
    <w:rsid w:val="00CB3B89"/>
    <w:rsid w:val="00F2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05E"/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link w:val="Ttulo1Char"/>
    <w:qFormat/>
    <w:rsid w:val="00A2505E"/>
    <w:pPr>
      <w:keepNext/>
      <w:jc w:val="center"/>
      <w:outlineLvl w:val="0"/>
    </w:pPr>
    <w:rPr>
      <w:rFonts w:ascii="Arial" w:hAnsi="Arial"/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ndice">
    <w:name w:val="Índice"/>
    <w:basedOn w:val="Normal"/>
    <w:rsid w:val="00A2505E"/>
    <w:pPr>
      <w:suppressLineNumbers/>
      <w:suppressAutoHyphens/>
    </w:pPr>
    <w:rPr>
      <w:rFonts w:cs="Tahoma"/>
      <w:lang/>
    </w:rPr>
  </w:style>
  <w:style w:type="paragraph" w:customStyle="1" w:styleId="western">
    <w:name w:val="western"/>
    <w:basedOn w:val="Normal"/>
    <w:rsid w:val="00A2505E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A2505E"/>
  </w:style>
  <w:style w:type="paragraph" w:styleId="Corpodetexto">
    <w:name w:val="Body Text"/>
    <w:basedOn w:val="Normal"/>
    <w:rsid w:val="000E3664"/>
    <w:pPr>
      <w:spacing w:before="60" w:after="60"/>
      <w:jc w:val="both"/>
    </w:pPr>
    <w:rPr>
      <w:rFonts w:ascii="Times New Roman" w:hAnsi="Times New Roman"/>
    </w:rPr>
  </w:style>
  <w:style w:type="character" w:customStyle="1" w:styleId="Ttulo1Char">
    <w:name w:val="Título 1 Char"/>
    <w:basedOn w:val="Fontepargpadro"/>
    <w:link w:val="Ttulo1"/>
    <w:rsid w:val="00F27303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sec-pbf</dc:creator>
  <cp:lastModifiedBy>Usuário do Windows</cp:lastModifiedBy>
  <cp:revision>2</cp:revision>
  <dcterms:created xsi:type="dcterms:W3CDTF">2019-06-14T18:19:00Z</dcterms:created>
  <dcterms:modified xsi:type="dcterms:W3CDTF">2019-06-14T18:19:00Z</dcterms:modified>
</cp:coreProperties>
</file>