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D2" w:rsidRPr="00001C49" w:rsidRDefault="005649D2" w:rsidP="005A19F9">
      <w:pPr>
        <w:spacing w:before="120"/>
        <w:jc w:val="both"/>
        <w:rPr>
          <w:rFonts w:ascii="Arial" w:hAnsi="Arial" w:cs="Arial"/>
          <w:b/>
          <w:sz w:val="22"/>
          <w:szCs w:val="22"/>
        </w:rPr>
      </w:pPr>
      <w:r w:rsidRPr="00001C49">
        <w:rPr>
          <w:rFonts w:ascii="Arial" w:hAnsi="Arial" w:cs="Arial"/>
          <w:b/>
          <w:sz w:val="22"/>
          <w:szCs w:val="22"/>
        </w:rPr>
        <w:t>UNIVERSIDADE ESTADUAL DE MARINGÁ</w:t>
      </w:r>
    </w:p>
    <w:p w:rsidR="005649D2" w:rsidRPr="00001C49" w:rsidRDefault="005649D2" w:rsidP="005A19F9">
      <w:pPr>
        <w:spacing w:before="120"/>
        <w:ind w:right="-426"/>
        <w:jc w:val="both"/>
        <w:rPr>
          <w:rFonts w:ascii="Arial" w:hAnsi="Arial" w:cs="Arial"/>
          <w:b/>
          <w:sz w:val="22"/>
          <w:szCs w:val="22"/>
        </w:rPr>
      </w:pPr>
      <w:r w:rsidRPr="00001C49">
        <w:rPr>
          <w:rFonts w:ascii="Arial" w:hAnsi="Arial" w:cs="Arial"/>
          <w:b/>
          <w:sz w:val="22"/>
          <w:szCs w:val="22"/>
        </w:rPr>
        <w:t xml:space="preserve">PROGRAMA DE PÓS-GRADUAÇÃO </w:t>
      </w:r>
      <w:smartTag w:uri="urn:schemas-microsoft-com:office:smarttags" w:element="PersonName">
        <w:smartTagPr>
          <w:attr w:name="ProductID" w:val="EM BIOCIￊNCIAS E FISIOPATOLOGIA"/>
        </w:smartTagPr>
        <w:r w:rsidRPr="00001C49">
          <w:rPr>
            <w:rFonts w:ascii="Arial" w:hAnsi="Arial" w:cs="Arial"/>
            <w:b/>
            <w:sz w:val="22"/>
            <w:szCs w:val="22"/>
          </w:rPr>
          <w:t xml:space="preserve">EM BIOCIÊNCIAS </w:t>
        </w:r>
        <w:r>
          <w:rPr>
            <w:rFonts w:ascii="Arial" w:hAnsi="Arial" w:cs="Arial"/>
            <w:b/>
            <w:sz w:val="22"/>
            <w:szCs w:val="22"/>
          </w:rPr>
          <w:t>E FISIOPATOLOGIA</w:t>
        </w:r>
      </w:smartTag>
    </w:p>
    <w:p w:rsidR="005649D2" w:rsidRPr="00001C49" w:rsidRDefault="005649D2" w:rsidP="005A19F9">
      <w:pPr>
        <w:rPr>
          <w:rFonts w:ascii="Arial" w:hAnsi="Arial" w:cs="Arial"/>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978"/>
      </w:tblGrid>
      <w:tr w:rsidR="005649D2" w:rsidRPr="00001C49" w:rsidTr="00D94D86">
        <w:tc>
          <w:tcPr>
            <w:tcW w:w="8978" w:type="dxa"/>
            <w:tcBorders>
              <w:top w:val="double" w:sz="4" w:space="0" w:color="auto"/>
              <w:bottom w:val="double" w:sz="4" w:space="0" w:color="auto"/>
            </w:tcBorders>
            <w:shd w:val="pct15" w:color="auto" w:fill="FFFFFF"/>
          </w:tcPr>
          <w:p w:rsidR="005649D2" w:rsidRPr="00001C49" w:rsidRDefault="005649D2" w:rsidP="00D94D86">
            <w:pPr>
              <w:pStyle w:val="Ttulo1"/>
              <w:spacing w:before="40" w:after="40"/>
              <w:rPr>
                <w:rFonts w:cs="Arial"/>
                <w:szCs w:val="22"/>
              </w:rPr>
            </w:pPr>
            <w:r w:rsidRPr="00001C49">
              <w:rPr>
                <w:rFonts w:cs="Arial"/>
                <w:sz w:val="22"/>
                <w:szCs w:val="22"/>
              </w:rPr>
              <w:t>PROGRAMA DA DISCIPLINA</w:t>
            </w:r>
          </w:p>
        </w:tc>
      </w:tr>
    </w:tbl>
    <w:p w:rsidR="005649D2" w:rsidRPr="00001C49" w:rsidRDefault="005649D2" w:rsidP="005A19F9">
      <w:pPr>
        <w:rPr>
          <w:rFonts w:ascii="Arial" w:hAnsi="Arial" w:cs="Arial"/>
        </w:rPr>
      </w:pPr>
    </w:p>
    <w:tbl>
      <w:tblPr>
        <w:tblW w:w="8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1204"/>
        <w:gridCol w:w="1560"/>
        <w:gridCol w:w="1725"/>
        <w:gridCol w:w="4489"/>
      </w:tblGrid>
      <w:tr w:rsidR="005649D2" w:rsidRPr="00001C49" w:rsidTr="00D94D86">
        <w:tc>
          <w:tcPr>
            <w:tcW w:w="8978" w:type="dxa"/>
            <w:gridSpan w:val="4"/>
            <w:tcBorders>
              <w:top w:val="double" w:sz="4" w:space="0" w:color="auto"/>
            </w:tcBorders>
          </w:tcPr>
          <w:p w:rsidR="005649D2" w:rsidRDefault="005649D2" w:rsidP="00D94D86">
            <w:pPr>
              <w:spacing w:before="120" w:after="120"/>
              <w:jc w:val="both"/>
              <w:rPr>
                <w:rFonts w:ascii="Arial" w:hAnsi="Arial" w:cs="Arial"/>
                <w:sz w:val="20"/>
              </w:rPr>
            </w:pPr>
            <w:r w:rsidRPr="003478E5">
              <w:rPr>
                <w:rFonts w:ascii="Arial" w:hAnsi="Arial" w:cs="Arial"/>
                <w:b/>
                <w:sz w:val="20"/>
              </w:rPr>
              <w:t>CÓDIGO</w:t>
            </w:r>
            <w:r>
              <w:rPr>
                <w:rFonts w:ascii="Arial" w:hAnsi="Arial" w:cs="Arial"/>
                <w:sz w:val="20"/>
              </w:rPr>
              <w:t>:</w:t>
            </w:r>
            <w:r w:rsidRPr="005A19F9">
              <w:rPr>
                <w:rFonts w:ascii="Arial" w:hAnsi="Arial"/>
              </w:rPr>
              <w:t xml:space="preserve"> </w:t>
            </w:r>
            <w:r w:rsidRPr="00157495">
              <w:rPr>
                <w:rFonts w:ascii="Arial" w:hAnsi="Arial"/>
                <w:sz w:val="22"/>
                <w:szCs w:val="22"/>
              </w:rPr>
              <w:t>DAC4013</w:t>
            </w:r>
            <w:r w:rsidRPr="00157495">
              <w:rPr>
                <w:rFonts w:ascii="Arial" w:hAnsi="Arial" w:cs="Arial"/>
                <w:sz w:val="20"/>
              </w:rPr>
              <w:t xml:space="preserve"> </w:t>
            </w:r>
          </w:p>
          <w:p w:rsidR="005649D2" w:rsidRDefault="005649D2" w:rsidP="003478E5">
            <w:pPr>
              <w:spacing w:before="120" w:after="120"/>
              <w:jc w:val="both"/>
              <w:rPr>
                <w:rFonts w:ascii="Arial" w:hAnsi="Arial"/>
                <w:sz w:val="20"/>
              </w:rPr>
            </w:pPr>
            <w:r w:rsidRPr="003478E5">
              <w:rPr>
                <w:rFonts w:ascii="Arial" w:hAnsi="Arial" w:cs="Arial"/>
                <w:b/>
                <w:sz w:val="20"/>
              </w:rPr>
              <w:t>NOME</w:t>
            </w:r>
            <w:r>
              <w:rPr>
                <w:rFonts w:ascii="Arial" w:hAnsi="Arial" w:cs="Arial"/>
                <w:sz w:val="20"/>
              </w:rPr>
              <w:t>:</w:t>
            </w:r>
            <w:r w:rsidRPr="00001C49">
              <w:rPr>
                <w:rFonts w:ascii="Arial" w:hAnsi="Arial" w:cs="Arial"/>
                <w:sz w:val="20"/>
              </w:rPr>
              <w:t xml:space="preserve"> </w:t>
            </w:r>
            <w:r w:rsidRPr="00157495">
              <w:rPr>
                <w:rFonts w:ascii="Arial" w:hAnsi="Arial"/>
                <w:sz w:val="22"/>
                <w:szCs w:val="22"/>
              </w:rPr>
              <w:t>Arsenal metodológico para diagnóstico de agentes infecciosos</w:t>
            </w:r>
          </w:p>
          <w:p w:rsidR="005649D2" w:rsidRPr="00001C49" w:rsidRDefault="005649D2" w:rsidP="00157495">
            <w:pPr>
              <w:spacing w:before="120" w:after="120"/>
              <w:jc w:val="both"/>
              <w:rPr>
                <w:rFonts w:ascii="Arial" w:hAnsi="Arial" w:cs="Arial"/>
                <w:b/>
                <w:sz w:val="20"/>
              </w:rPr>
            </w:pPr>
            <w:r w:rsidRPr="00157495">
              <w:rPr>
                <w:rFonts w:ascii="Arial" w:hAnsi="Arial"/>
                <w:b/>
                <w:sz w:val="20"/>
              </w:rPr>
              <w:t>C</w:t>
            </w:r>
            <w:r>
              <w:rPr>
                <w:rFonts w:ascii="Arial" w:hAnsi="Arial"/>
                <w:b/>
                <w:sz w:val="20"/>
              </w:rPr>
              <w:t>URSO</w:t>
            </w:r>
            <w:r>
              <w:rPr>
                <w:rFonts w:ascii="Arial" w:hAnsi="Arial"/>
                <w:sz w:val="20"/>
              </w:rPr>
              <w:t xml:space="preserve">: </w:t>
            </w:r>
            <w:r>
              <w:rPr>
                <w:rFonts w:ascii="Arial" w:hAnsi="Arial"/>
                <w:sz w:val="22"/>
                <w:szCs w:val="22"/>
              </w:rPr>
              <w:t>M</w:t>
            </w:r>
            <w:r w:rsidRPr="00157495">
              <w:rPr>
                <w:rFonts w:ascii="Arial" w:hAnsi="Arial"/>
                <w:sz w:val="22"/>
                <w:szCs w:val="22"/>
              </w:rPr>
              <w:t>estrado</w:t>
            </w:r>
            <w:r>
              <w:rPr>
                <w:rFonts w:ascii="Arial" w:hAnsi="Arial"/>
                <w:sz w:val="22"/>
                <w:szCs w:val="22"/>
              </w:rPr>
              <w:t xml:space="preserve"> e Doutorado</w:t>
            </w:r>
          </w:p>
        </w:tc>
      </w:tr>
      <w:tr w:rsidR="005649D2" w:rsidRPr="00001C49" w:rsidTr="00126B15">
        <w:trPr>
          <w:cantSplit/>
          <w:trHeight w:val="255"/>
        </w:trPr>
        <w:tc>
          <w:tcPr>
            <w:tcW w:w="4489" w:type="dxa"/>
            <w:gridSpan w:val="3"/>
          </w:tcPr>
          <w:p w:rsidR="005649D2" w:rsidRPr="00001C49" w:rsidRDefault="005649D2" w:rsidP="00D94D86">
            <w:pPr>
              <w:jc w:val="center"/>
              <w:rPr>
                <w:rFonts w:ascii="Arial" w:hAnsi="Arial" w:cs="Arial"/>
                <w:sz w:val="20"/>
              </w:rPr>
            </w:pPr>
            <w:r w:rsidRPr="00001C49">
              <w:rPr>
                <w:rFonts w:ascii="Arial" w:hAnsi="Arial" w:cs="Arial"/>
                <w:sz w:val="20"/>
              </w:rPr>
              <w:t>CRÉDITOS</w:t>
            </w:r>
          </w:p>
        </w:tc>
        <w:tc>
          <w:tcPr>
            <w:tcW w:w="4489" w:type="dxa"/>
            <w:vMerge w:val="restart"/>
          </w:tcPr>
          <w:p w:rsidR="005649D2" w:rsidRPr="00001C49" w:rsidRDefault="005649D2" w:rsidP="00CF0F4C">
            <w:pPr>
              <w:ind w:left="47"/>
              <w:jc w:val="center"/>
              <w:rPr>
                <w:rFonts w:ascii="Arial" w:hAnsi="Arial" w:cs="Arial"/>
              </w:rPr>
            </w:pPr>
            <w:r w:rsidRPr="00001C49">
              <w:rPr>
                <w:rFonts w:ascii="Arial" w:hAnsi="Arial" w:cs="Arial"/>
                <w:sz w:val="20"/>
              </w:rPr>
              <w:t>CARGA HORÁRIA TOTAL</w:t>
            </w:r>
          </w:p>
          <w:p w:rsidR="005649D2" w:rsidRPr="000F0BBF" w:rsidRDefault="005649D2" w:rsidP="00CF0F4C">
            <w:pPr>
              <w:spacing w:before="120"/>
              <w:ind w:right="49"/>
              <w:jc w:val="center"/>
              <w:rPr>
                <w:rFonts w:ascii="Arial" w:hAnsi="Arial" w:cs="Arial"/>
                <w:b/>
                <w:szCs w:val="22"/>
              </w:rPr>
            </w:pPr>
            <w:r>
              <w:rPr>
                <w:rFonts w:ascii="Arial" w:hAnsi="Arial" w:cs="Arial"/>
                <w:b/>
                <w:sz w:val="22"/>
                <w:szCs w:val="22"/>
              </w:rPr>
              <w:t>30 horas</w:t>
            </w:r>
          </w:p>
        </w:tc>
      </w:tr>
      <w:tr w:rsidR="005649D2" w:rsidRPr="00001C49" w:rsidTr="00126B15">
        <w:trPr>
          <w:cantSplit/>
          <w:trHeight w:val="255"/>
        </w:trPr>
        <w:tc>
          <w:tcPr>
            <w:tcW w:w="1204" w:type="dxa"/>
          </w:tcPr>
          <w:p w:rsidR="005649D2" w:rsidRPr="00CF0F4C" w:rsidRDefault="005649D2" w:rsidP="00D94D86">
            <w:pPr>
              <w:spacing w:before="120" w:after="120"/>
              <w:rPr>
                <w:rFonts w:ascii="Arial" w:hAnsi="Arial" w:cs="Arial"/>
                <w:b/>
                <w:sz w:val="20"/>
              </w:rPr>
            </w:pPr>
            <w:r w:rsidRPr="00CF0F4C">
              <w:rPr>
                <w:rFonts w:ascii="Arial" w:hAnsi="Arial" w:cs="Arial"/>
                <w:b/>
                <w:sz w:val="20"/>
              </w:rPr>
              <w:t>TOTAL: 02</w:t>
            </w:r>
          </w:p>
        </w:tc>
        <w:tc>
          <w:tcPr>
            <w:tcW w:w="1560" w:type="dxa"/>
          </w:tcPr>
          <w:p w:rsidR="005649D2" w:rsidRPr="00001C49" w:rsidRDefault="005649D2" w:rsidP="00D94D86">
            <w:pPr>
              <w:spacing w:before="120" w:after="120"/>
              <w:rPr>
                <w:rFonts w:ascii="Arial" w:hAnsi="Arial" w:cs="Arial"/>
                <w:sz w:val="20"/>
              </w:rPr>
            </w:pPr>
            <w:r w:rsidRPr="00001C49">
              <w:rPr>
                <w:rFonts w:ascii="Arial" w:hAnsi="Arial" w:cs="Arial"/>
                <w:sz w:val="20"/>
              </w:rPr>
              <w:t>PRÁTICOS:</w:t>
            </w:r>
          </w:p>
        </w:tc>
        <w:tc>
          <w:tcPr>
            <w:tcW w:w="1725" w:type="dxa"/>
          </w:tcPr>
          <w:p w:rsidR="005649D2" w:rsidRPr="00001C49" w:rsidRDefault="005649D2" w:rsidP="00D94D86">
            <w:pPr>
              <w:spacing w:before="120" w:after="120"/>
              <w:rPr>
                <w:rFonts w:ascii="Arial" w:hAnsi="Arial" w:cs="Arial"/>
                <w:b/>
                <w:sz w:val="20"/>
              </w:rPr>
            </w:pPr>
            <w:r w:rsidRPr="00001C49">
              <w:rPr>
                <w:rFonts w:ascii="Arial" w:hAnsi="Arial" w:cs="Arial"/>
                <w:sz w:val="20"/>
              </w:rPr>
              <w:t xml:space="preserve">TEÓRICOS: </w:t>
            </w:r>
            <w:r>
              <w:rPr>
                <w:rFonts w:ascii="Arial" w:hAnsi="Arial" w:cs="Arial"/>
                <w:sz w:val="20"/>
              </w:rPr>
              <w:t>02</w:t>
            </w:r>
          </w:p>
        </w:tc>
        <w:tc>
          <w:tcPr>
            <w:tcW w:w="4489" w:type="dxa"/>
            <w:vMerge/>
          </w:tcPr>
          <w:p w:rsidR="005649D2" w:rsidRPr="00001C49" w:rsidRDefault="005649D2" w:rsidP="00D94D86">
            <w:pPr>
              <w:spacing w:before="120" w:after="120"/>
              <w:rPr>
                <w:rFonts w:ascii="Arial" w:hAnsi="Arial" w:cs="Arial"/>
              </w:rPr>
            </w:pPr>
          </w:p>
        </w:tc>
      </w:tr>
      <w:tr w:rsidR="005649D2" w:rsidRPr="00CF0F4C" w:rsidTr="004041F3">
        <w:tc>
          <w:tcPr>
            <w:tcW w:w="4489" w:type="dxa"/>
            <w:gridSpan w:val="3"/>
            <w:tcBorders>
              <w:top w:val="nil"/>
              <w:bottom w:val="double" w:sz="4" w:space="0" w:color="auto"/>
            </w:tcBorders>
          </w:tcPr>
          <w:p w:rsidR="005649D2" w:rsidRPr="00CF0F4C" w:rsidRDefault="005649D2" w:rsidP="00CF0F4C">
            <w:pPr>
              <w:spacing w:before="120" w:after="120"/>
              <w:rPr>
                <w:rFonts w:ascii="Arial" w:hAnsi="Arial" w:cs="Arial"/>
                <w:sz w:val="20"/>
              </w:rPr>
            </w:pPr>
            <w:r w:rsidRPr="00001C49">
              <w:rPr>
                <w:rFonts w:ascii="Arial" w:hAnsi="Arial" w:cs="Arial"/>
                <w:sz w:val="20"/>
              </w:rPr>
              <w:t>PRÉ-REQUISITOS:</w:t>
            </w:r>
          </w:p>
        </w:tc>
        <w:tc>
          <w:tcPr>
            <w:tcW w:w="4489" w:type="dxa"/>
            <w:tcBorders>
              <w:top w:val="nil"/>
              <w:bottom w:val="double" w:sz="4" w:space="0" w:color="auto"/>
            </w:tcBorders>
          </w:tcPr>
          <w:p w:rsidR="005649D2" w:rsidRPr="00CF0F4C" w:rsidRDefault="005649D2" w:rsidP="00CF0F4C">
            <w:pPr>
              <w:spacing w:before="120" w:after="120"/>
              <w:rPr>
                <w:rFonts w:ascii="Arial" w:hAnsi="Arial" w:cs="Arial"/>
                <w:sz w:val="20"/>
              </w:rPr>
            </w:pPr>
            <w:r w:rsidRPr="00001C49">
              <w:rPr>
                <w:rFonts w:ascii="Arial" w:hAnsi="Arial" w:cs="Arial"/>
                <w:sz w:val="20"/>
              </w:rPr>
              <w:t>CO-REQUISITOS:</w:t>
            </w:r>
          </w:p>
        </w:tc>
      </w:tr>
    </w:tbl>
    <w:p w:rsidR="005649D2" w:rsidRPr="00413442" w:rsidRDefault="005649D2" w:rsidP="005A19F9">
      <w:pPr>
        <w:jc w:val="both"/>
        <w:rPr>
          <w:rFonts w:ascii="Arial" w:hAnsi="Arial" w:cs="Arial"/>
          <w:i/>
          <w:sz w:val="16"/>
          <w:szCs w:val="16"/>
        </w:rPr>
      </w:pPr>
    </w:p>
    <w:p w:rsidR="005649D2" w:rsidRDefault="005649D2">
      <w:pPr>
        <w:rPr>
          <w:rFonts w:ascii="Arial" w:hAnsi="Arial"/>
          <w:b/>
          <w:sz w:val="20"/>
        </w:rPr>
      </w:pPr>
    </w:p>
    <w:p w:rsidR="005649D2" w:rsidRDefault="005649D2">
      <w:pPr>
        <w:rPr>
          <w:rFonts w:ascii="Arial" w:hAnsi="Arial"/>
          <w:b/>
          <w:sz w:val="20"/>
        </w:rPr>
      </w:pPr>
      <w:r w:rsidRPr="004551EF">
        <w:rPr>
          <w:rFonts w:ascii="Arial" w:hAnsi="Arial"/>
          <w:b/>
          <w:sz w:val="20"/>
        </w:rPr>
        <w:t>EMENTA:</w:t>
      </w:r>
    </w:p>
    <w:p w:rsidR="005649D2" w:rsidRDefault="005649D2">
      <w:pPr>
        <w:rPr>
          <w:rFonts w:ascii="Arial" w:hAnsi="Arial"/>
          <w:sz w:val="20"/>
        </w:rPr>
      </w:pPr>
    </w:p>
    <w:p w:rsidR="005649D2" w:rsidRDefault="005649D2">
      <w:pPr>
        <w:rPr>
          <w:rFonts w:ascii="Times New Roman" w:hAnsi="Times New Roman"/>
          <w:sz w:val="20"/>
        </w:rPr>
      </w:pPr>
      <w:r w:rsidRPr="003478E5">
        <w:rPr>
          <w:rFonts w:ascii="Arial" w:hAnsi="Arial"/>
          <w:sz w:val="22"/>
          <w:szCs w:val="22"/>
        </w:rPr>
        <w:t>Desenvolvimento de visão crítica sobre os métodos de diagnóstico para doenças infecciosas usando como conhecimentos básicos os fundamentos de técnicas consagradas em todas as áreas das análises clínicas e a biologia de microrganismos para vislumbrar novas metodologias para o diagnóstico e controle de cura dessas infecções</w:t>
      </w:r>
      <w:r w:rsidRPr="00DC12FA">
        <w:rPr>
          <w:rFonts w:ascii="Times New Roman" w:hAnsi="Times New Roman"/>
          <w:sz w:val="20"/>
        </w:rPr>
        <w:t>.</w:t>
      </w:r>
    </w:p>
    <w:p w:rsidR="005649D2" w:rsidRDefault="005649D2">
      <w:pPr>
        <w:rPr>
          <w:rFonts w:ascii="Times New Roman" w:hAnsi="Times New Roman"/>
          <w:sz w:val="20"/>
        </w:rPr>
      </w:pPr>
    </w:p>
    <w:p w:rsidR="005649D2" w:rsidRDefault="005649D2">
      <w:pPr>
        <w:rPr>
          <w:rFonts w:ascii="Arial" w:hAnsi="Arial"/>
          <w:b/>
          <w:sz w:val="20"/>
        </w:rPr>
      </w:pPr>
      <w:r w:rsidRPr="004551EF">
        <w:rPr>
          <w:rFonts w:ascii="Arial" w:hAnsi="Arial"/>
          <w:b/>
          <w:sz w:val="20"/>
        </w:rPr>
        <w:t>PROGRAMA:</w:t>
      </w:r>
    </w:p>
    <w:p w:rsidR="005649D2" w:rsidRDefault="005649D2">
      <w:pPr>
        <w:rPr>
          <w:rFonts w:ascii="Arial" w:hAnsi="Arial"/>
          <w:b/>
          <w:sz w:val="20"/>
        </w:rPr>
      </w:pPr>
    </w:p>
    <w:p w:rsidR="005649D2" w:rsidRPr="003478E5" w:rsidRDefault="005649D2" w:rsidP="004551EF">
      <w:pPr>
        <w:snapToGrid w:val="0"/>
        <w:rPr>
          <w:rFonts w:ascii="Arial" w:hAnsi="Arial"/>
          <w:sz w:val="22"/>
          <w:szCs w:val="22"/>
        </w:rPr>
      </w:pPr>
      <w:r w:rsidRPr="003478E5">
        <w:rPr>
          <w:rFonts w:ascii="Arial" w:hAnsi="Arial"/>
          <w:sz w:val="22"/>
          <w:szCs w:val="22"/>
        </w:rPr>
        <w:t>Diagnóstico de infecções parasitárias, bacterianas e fúngicas:</w:t>
      </w:r>
    </w:p>
    <w:p w:rsidR="005649D2" w:rsidRPr="003478E5" w:rsidRDefault="005649D2" w:rsidP="004551EF">
      <w:pPr>
        <w:numPr>
          <w:ilvl w:val="0"/>
          <w:numId w:val="1"/>
        </w:numPr>
        <w:tabs>
          <w:tab w:val="left" w:pos="360"/>
        </w:tabs>
        <w:suppressAutoHyphens/>
        <w:ind w:left="720" w:hanging="360"/>
        <w:rPr>
          <w:rFonts w:ascii="Arial" w:hAnsi="Arial"/>
          <w:sz w:val="22"/>
          <w:szCs w:val="22"/>
        </w:rPr>
      </w:pPr>
      <w:r w:rsidRPr="003478E5">
        <w:rPr>
          <w:rFonts w:ascii="Arial" w:hAnsi="Arial"/>
          <w:sz w:val="22"/>
          <w:szCs w:val="22"/>
        </w:rPr>
        <w:t>Métodos diretos</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Demonstração do agente etiológico</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Demonstração de antígenos</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Detecção de material genético</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Exames de imagem</w:t>
      </w:r>
    </w:p>
    <w:p w:rsidR="005649D2" w:rsidRPr="003478E5" w:rsidRDefault="005649D2" w:rsidP="004551EF">
      <w:pPr>
        <w:numPr>
          <w:ilvl w:val="0"/>
          <w:numId w:val="1"/>
        </w:numPr>
        <w:tabs>
          <w:tab w:val="left" w:pos="360"/>
        </w:tabs>
        <w:suppressAutoHyphens/>
        <w:ind w:left="720" w:hanging="360"/>
        <w:rPr>
          <w:rFonts w:ascii="Arial" w:hAnsi="Arial"/>
          <w:sz w:val="22"/>
          <w:szCs w:val="22"/>
        </w:rPr>
      </w:pPr>
      <w:r w:rsidRPr="003478E5">
        <w:rPr>
          <w:rFonts w:ascii="Arial" w:hAnsi="Arial"/>
          <w:sz w:val="22"/>
          <w:szCs w:val="22"/>
        </w:rPr>
        <w:t>Métodos indiretos</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Métodos imunológicos</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Métodos histopatológicos</w:t>
      </w:r>
    </w:p>
    <w:p w:rsidR="005649D2" w:rsidRPr="003478E5" w:rsidRDefault="005649D2" w:rsidP="004551EF">
      <w:pPr>
        <w:numPr>
          <w:ilvl w:val="1"/>
          <w:numId w:val="1"/>
        </w:numPr>
        <w:tabs>
          <w:tab w:val="left" w:pos="792"/>
        </w:tabs>
        <w:suppressAutoHyphens/>
        <w:ind w:left="1440" w:hanging="360"/>
        <w:rPr>
          <w:rFonts w:ascii="Arial" w:hAnsi="Arial"/>
          <w:sz w:val="22"/>
          <w:szCs w:val="22"/>
        </w:rPr>
      </w:pPr>
      <w:r w:rsidRPr="003478E5">
        <w:rPr>
          <w:rFonts w:ascii="Arial" w:hAnsi="Arial"/>
          <w:sz w:val="22"/>
          <w:szCs w:val="22"/>
        </w:rPr>
        <w:t>Métodos físico-químicos</w:t>
      </w:r>
    </w:p>
    <w:p w:rsidR="005649D2" w:rsidRDefault="005649D2">
      <w:pPr>
        <w:rPr>
          <w:rFonts w:ascii="Arial" w:hAnsi="Arial"/>
          <w:b/>
          <w:sz w:val="20"/>
        </w:rPr>
      </w:pPr>
    </w:p>
    <w:p w:rsidR="005649D2" w:rsidRPr="004551EF" w:rsidRDefault="005649D2" w:rsidP="004551EF">
      <w:pPr>
        <w:snapToGrid w:val="0"/>
        <w:spacing w:before="60" w:after="60"/>
        <w:jc w:val="both"/>
        <w:rPr>
          <w:rFonts w:ascii="Arial" w:hAnsi="Arial"/>
          <w:b/>
          <w:sz w:val="20"/>
        </w:rPr>
      </w:pPr>
      <w:r w:rsidRPr="004551EF">
        <w:rPr>
          <w:rFonts w:ascii="Arial" w:hAnsi="Arial"/>
          <w:b/>
          <w:sz w:val="20"/>
        </w:rPr>
        <w:t>BIBLIOGRAFIA:</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rPr>
      </w:pPr>
      <w:r w:rsidRPr="00CF0F4C">
        <w:rPr>
          <w:rFonts w:ascii="Arial" w:hAnsi="Arial"/>
          <w:sz w:val="22"/>
          <w:szCs w:val="22"/>
        </w:rPr>
        <w:t>Bellissimo-Rodrigues F, Vitali LH, Martinez R. Serological diagnosis of paracoccidioidomycosis in HIV-coinfected patients. Mem Inst Oswaldo Cruz. 2010 Nov;105(7):904-7.</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Bille J. New nonculture-based methods for the diagnosis of invasive candidiasis. Curr Opin Crit Care. 2010 Oct;16(5):460-4. Review.</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Cendejas-Bueno E, Gomez-Lopez A, Mellado E, Rodriguez-Tudela JL, Cuenca-Estrella M. Identification of pathogenic rare yeast species in clinical samples: comparison between phenotypical and molecular methods. J Clin Microbiol. 2010 May;48(5):1895-9. Epub 2010 Mar 17.</w:t>
      </w:r>
    </w:p>
    <w:p w:rsidR="005649D2" w:rsidRPr="00CF0F4C" w:rsidRDefault="005649D2" w:rsidP="00CF0F4C">
      <w:pPr>
        <w:numPr>
          <w:ilvl w:val="0"/>
          <w:numId w:val="2"/>
        </w:numPr>
        <w:shd w:val="clear" w:color="auto" w:fill="FFFFFF"/>
        <w:tabs>
          <w:tab w:val="clear" w:pos="720"/>
          <w:tab w:val="num" w:pos="284"/>
        </w:tabs>
        <w:suppressAutoHyphens/>
        <w:spacing w:before="120"/>
        <w:ind w:left="284" w:hanging="284"/>
        <w:jc w:val="both"/>
        <w:rPr>
          <w:rFonts w:ascii="Arial" w:hAnsi="Arial"/>
          <w:sz w:val="22"/>
          <w:szCs w:val="22"/>
          <w:lang w:val="en-US"/>
        </w:rPr>
      </w:pPr>
      <w:r w:rsidRPr="00CF0F4C">
        <w:rPr>
          <w:rFonts w:ascii="Arial" w:hAnsi="Arial"/>
          <w:sz w:val="22"/>
          <w:szCs w:val="22"/>
          <w:lang w:val="en-US"/>
        </w:rPr>
        <w:t>COX, F.E.G. Modern Parasitology. Blackwell Scientific Publications. Second Edition, 1993.</w:t>
      </w:r>
    </w:p>
    <w:p w:rsidR="005649D2" w:rsidRPr="00CF0F4C" w:rsidRDefault="005649D2" w:rsidP="004551EF">
      <w:pPr>
        <w:numPr>
          <w:ilvl w:val="0"/>
          <w:numId w:val="2"/>
        </w:numPr>
        <w:tabs>
          <w:tab w:val="clear" w:pos="720"/>
          <w:tab w:val="num" w:pos="284"/>
        </w:tabs>
        <w:suppressAutoHyphens/>
        <w:spacing w:before="120"/>
        <w:ind w:left="284" w:hanging="284"/>
        <w:jc w:val="both"/>
        <w:rPr>
          <w:rFonts w:ascii="Arial" w:hAnsi="Arial"/>
          <w:sz w:val="22"/>
          <w:szCs w:val="22"/>
          <w:lang w:val="en-US"/>
        </w:rPr>
      </w:pPr>
      <w:r w:rsidRPr="00CF0F4C">
        <w:rPr>
          <w:rFonts w:ascii="Arial" w:hAnsi="Arial"/>
          <w:sz w:val="22"/>
          <w:szCs w:val="22"/>
          <w:lang w:val="en-US"/>
        </w:rPr>
        <w:t xml:space="preserve">FARTHING, M.J.G.; KEUSCH, G.T.; WAKELIN, D. Enteric infection 2. </w:t>
      </w:r>
      <w:smartTag w:uri="urn:schemas-microsoft-com:office:smarttags" w:element="City">
        <w:smartTag w:uri="urn:schemas-microsoft-com:office:smarttags" w:element="place">
          <w:r w:rsidRPr="00CF0F4C">
            <w:rPr>
              <w:rFonts w:ascii="Arial" w:hAnsi="Arial"/>
              <w:sz w:val="22"/>
              <w:szCs w:val="22"/>
              <w:lang w:val="en-US"/>
            </w:rPr>
            <w:t>London</w:t>
          </w:r>
        </w:smartTag>
      </w:smartTag>
      <w:r w:rsidRPr="00CF0F4C">
        <w:rPr>
          <w:rFonts w:ascii="Arial" w:hAnsi="Arial"/>
          <w:sz w:val="22"/>
          <w:szCs w:val="22"/>
          <w:lang w:val="en-US"/>
        </w:rPr>
        <w:t>: Chapman &amp; Hall Medical, 1995.</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rPr>
        <w:lastRenderedPageBreak/>
        <w:t xml:space="preserve">Gazzoni AF, Oliveira Fde M, Salles EF, Mayayo E, Guarro J, Capilla J, Severo LC. </w:t>
      </w:r>
      <w:r w:rsidRPr="00CF0F4C">
        <w:rPr>
          <w:rFonts w:ascii="Arial" w:hAnsi="Arial"/>
          <w:sz w:val="22"/>
          <w:szCs w:val="22"/>
          <w:lang w:val="en-US"/>
        </w:rPr>
        <w:t>Unusual morphologies of Cryptococcus spp. in tissue specimens: report of 10 cases. Rev Inst Med Trop Sao Paulo. 2010 May-Jun;52(3):145-9.</w:t>
      </w:r>
    </w:p>
    <w:p w:rsidR="005649D2" w:rsidRPr="00CF0F4C" w:rsidRDefault="005649D2" w:rsidP="004551EF">
      <w:pPr>
        <w:numPr>
          <w:ilvl w:val="0"/>
          <w:numId w:val="2"/>
        </w:numPr>
        <w:tabs>
          <w:tab w:val="clear" w:pos="720"/>
          <w:tab w:val="num" w:pos="284"/>
        </w:tabs>
        <w:suppressAutoHyphens/>
        <w:spacing w:before="120"/>
        <w:ind w:left="284" w:hanging="284"/>
        <w:jc w:val="both"/>
        <w:rPr>
          <w:rFonts w:ascii="Arial" w:hAnsi="Arial"/>
          <w:sz w:val="22"/>
          <w:szCs w:val="22"/>
          <w:lang w:val="en-US"/>
        </w:rPr>
      </w:pPr>
      <w:r w:rsidRPr="00CF0F4C">
        <w:rPr>
          <w:rFonts w:ascii="Arial" w:hAnsi="Arial"/>
          <w:sz w:val="22"/>
          <w:szCs w:val="22"/>
          <w:lang w:val="en-US"/>
        </w:rPr>
        <w:t xml:space="preserve">GILLESPIE, S.H. &amp; HAWKEY, P.M. Medical Parasitology. A practical approach. </w:t>
      </w:r>
      <w:smartTag w:uri="urn:schemas-microsoft-com:office:smarttags" w:element="State">
        <w:r w:rsidRPr="00CF0F4C">
          <w:rPr>
            <w:rFonts w:ascii="Arial" w:hAnsi="Arial"/>
            <w:sz w:val="22"/>
            <w:szCs w:val="22"/>
            <w:lang w:val="en-US"/>
          </w:rPr>
          <w:t>New York</w:t>
        </w:r>
      </w:smartTag>
      <w:r w:rsidRPr="00CF0F4C">
        <w:rPr>
          <w:rFonts w:ascii="Arial" w:hAnsi="Arial"/>
          <w:sz w:val="22"/>
          <w:szCs w:val="22"/>
          <w:lang w:val="en-US"/>
        </w:rPr>
        <w:t xml:space="preserve">: </w:t>
      </w:r>
      <w:smartTag w:uri="urn:schemas-microsoft-com:office:smarttags" w:element="City">
        <w:smartTag w:uri="urn:schemas-microsoft-com:office:smarttags" w:element="PlaceName">
          <w:r w:rsidRPr="00CF0F4C">
            <w:rPr>
              <w:rFonts w:ascii="Arial" w:hAnsi="Arial"/>
              <w:sz w:val="22"/>
              <w:szCs w:val="22"/>
              <w:lang w:val="en-US"/>
            </w:rPr>
            <w:t>Oxford</w:t>
          </w:r>
        </w:smartTag>
        <w:r w:rsidRPr="00CF0F4C">
          <w:rPr>
            <w:rFonts w:ascii="Arial" w:hAnsi="Arial"/>
            <w:sz w:val="22"/>
            <w:szCs w:val="22"/>
            <w:lang w:val="en-US"/>
          </w:rPr>
          <w:t xml:space="preserve"> </w:t>
        </w:r>
        <w:smartTag w:uri="urn:schemas-microsoft-com:office:smarttags" w:element="City">
          <w:r w:rsidRPr="00CF0F4C">
            <w:rPr>
              <w:rFonts w:ascii="Arial" w:hAnsi="Arial"/>
              <w:sz w:val="22"/>
              <w:szCs w:val="22"/>
              <w:lang w:val="en-US"/>
            </w:rPr>
            <w:t>University</w:t>
          </w:r>
        </w:smartTag>
      </w:smartTag>
      <w:r w:rsidRPr="00CF0F4C">
        <w:rPr>
          <w:rFonts w:ascii="Arial" w:hAnsi="Arial"/>
          <w:sz w:val="22"/>
          <w:szCs w:val="22"/>
          <w:lang w:val="en-US"/>
        </w:rPr>
        <w:t xml:space="preserve"> Press, 1994.</w:t>
      </w:r>
    </w:p>
    <w:p w:rsidR="005649D2" w:rsidRPr="00CF0F4C" w:rsidRDefault="000D1533" w:rsidP="00CF0F4C">
      <w:pPr>
        <w:pStyle w:val="Corpodetexto3"/>
        <w:numPr>
          <w:ilvl w:val="0"/>
          <w:numId w:val="2"/>
        </w:numPr>
        <w:shd w:val="clear" w:color="auto" w:fill="FFFFFF"/>
        <w:tabs>
          <w:tab w:val="clear" w:pos="720"/>
          <w:tab w:val="num" w:pos="284"/>
        </w:tabs>
        <w:spacing w:before="120" w:after="0"/>
        <w:ind w:left="284" w:hanging="284"/>
        <w:jc w:val="both"/>
        <w:rPr>
          <w:rFonts w:ascii="Arial" w:hAnsi="Arial"/>
          <w:sz w:val="22"/>
          <w:szCs w:val="22"/>
        </w:rPr>
      </w:pPr>
      <w:hyperlink r:id="rId7" w:history="1">
        <w:r w:rsidR="005649D2" w:rsidRPr="00CF0F4C">
          <w:rPr>
            <w:rFonts w:ascii="Arial" w:hAnsi="Arial"/>
            <w:sz w:val="22"/>
            <w:szCs w:val="22"/>
            <w:lang w:val="en-US"/>
          </w:rPr>
          <w:t>Hsu LY</w:t>
        </w:r>
      </w:hyperlink>
      <w:r w:rsidR="005649D2" w:rsidRPr="00CF0F4C">
        <w:rPr>
          <w:rFonts w:ascii="Arial" w:hAnsi="Arial"/>
          <w:sz w:val="22"/>
          <w:szCs w:val="22"/>
          <w:lang w:val="en-US"/>
        </w:rPr>
        <w:t xml:space="preserve">, </w:t>
      </w:r>
      <w:hyperlink r:id="rId8" w:history="1">
        <w:r w:rsidR="005649D2" w:rsidRPr="00CF0F4C">
          <w:rPr>
            <w:rFonts w:ascii="Arial" w:hAnsi="Arial"/>
            <w:sz w:val="22"/>
            <w:szCs w:val="22"/>
            <w:lang w:val="en-US"/>
          </w:rPr>
          <w:t>Ding Y</w:t>
        </w:r>
      </w:hyperlink>
      <w:r w:rsidR="005649D2" w:rsidRPr="00CF0F4C">
        <w:rPr>
          <w:rFonts w:ascii="Arial" w:hAnsi="Arial"/>
          <w:sz w:val="22"/>
          <w:szCs w:val="22"/>
          <w:lang w:val="en-US"/>
        </w:rPr>
        <w:t xml:space="preserve">, </w:t>
      </w:r>
      <w:hyperlink r:id="rId9" w:history="1">
        <w:r w:rsidR="005649D2" w:rsidRPr="00CF0F4C">
          <w:rPr>
            <w:rFonts w:ascii="Arial" w:hAnsi="Arial"/>
            <w:sz w:val="22"/>
            <w:szCs w:val="22"/>
            <w:lang w:val="en-US"/>
          </w:rPr>
          <w:t>Phua J</w:t>
        </w:r>
      </w:hyperlink>
      <w:r w:rsidR="005649D2" w:rsidRPr="00CF0F4C">
        <w:rPr>
          <w:rFonts w:ascii="Arial" w:hAnsi="Arial"/>
          <w:sz w:val="22"/>
          <w:szCs w:val="22"/>
          <w:lang w:val="en-US"/>
        </w:rPr>
        <w:t xml:space="preserve">, </w:t>
      </w:r>
      <w:hyperlink r:id="rId10" w:history="1">
        <w:r w:rsidR="005649D2" w:rsidRPr="00CF0F4C">
          <w:rPr>
            <w:rFonts w:ascii="Arial" w:hAnsi="Arial"/>
            <w:sz w:val="22"/>
            <w:szCs w:val="22"/>
            <w:lang w:val="en-US"/>
          </w:rPr>
          <w:t>Koh LP</w:t>
        </w:r>
      </w:hyperlink>
      <w:r w:rsidR="005649D2" w:rsidRPr="00CF0F4C">
        <w:rPr>
          <w:rFonts w:ascii="Arial" w:hAnsi="Arial"/>
          <w:sz w:val="22"/>
          <w:szCs w:val="22"/>
          <w:lang w:val="en-US"/>
        </w:rPr>
        <w:t xml:space="preserve">, </w:t>
      </w:r>
      <w:hyperlink r:id="rId11" w:history="1">
        <w:r w:rsidR="005649D2" w:rsidRPr="00CF0F4C">
          <w:rPr>
            <w:rFonts w:ascii="Arial" w:hAnsi="Arial"/>
            <w:sz w:val="22"/>
            <w:szCs w:val="22"/>
            <w:lang w:val="en-US"/>
          </w:rPr>
          <w:t>Chan DS</w:t>
        </w:r>
      </w:hyperlink>
      <w:r w:rsidR="005649D2" w:rsidRPr="00CF0F4C">
        <w:rPr>
          <w:rFonts w:ascii="Arial" w:hAnsi="Arial"/>
          <w:sz w:val="22"/>
          <w:szCs w:val="22"/>
          <w:lang w:val="en-US"/>
        </w:rPr>
        <w:t xml:space="preserve">, </w:t>
      </w:r>
      <w:hyperlink r:id="rId12" w:history="1">
        <w:r w:rsidR="005649D2" w:rsidRPr="00CF0F4C">
          <w:rPr>
            <w:rFonts w:ascii="Arial" w:hAnsi="Arial"/>
            <w:sz w:val="22"/>
            <w:szCs w:val="22"/>
            <w:lang w:val="en-US"/>
          </w:rPr>
          <w:t>Khoo KL</w:t>
        </w:r>
      </w:hyperlink>
      <w:r w:rsidR="005649D2" w:rsidRPr="00CF0F4C">
        <w:rPr>
          <w:rFonts w:ascii="Arial" w:hAnsi="Arial"/>
          <w:sz w:val="22"/>
          <w:szCs w:val="22"/>
          <w:lang w:val="en-US"/>
        </w:rPr>
        <w:t xml:space="preserve">, </w:t>
      </w:r>
      <w:hyperlink r:id="rId13" w:history="1">
        <w:r w:rsidR="005649D2" w:rsidRPr="00CF0F4C">
          <w:rPr>
            <w:rFonts w:ascii="Arial" w:hAnsi="Arial"/>
            <w:sz w:val="22"/>
            <w:szCs w:val="22"/>
            <w:lang w:val="en-US"/>
          </w:rPr>
          <w:t>Tambyah PA</w:t>
        </w:r>
      </w:hyperlink>
      <w:r w:rsidR="005649D2" w:rsidRPr="00CF0F4C">
        <w:rPr>
          <w:rFonts w:ascii="Arial" w:hAnsi="Arial"/>
          <w:sz w:val="22"/>
          <w:szCs w:val="22"/>
          <w:lang w:val="en-US"/>
        </w:rPr>
        <w:t>. Galactomannan testing of bronchoalveolar lavage fluid is useful for diagnosis of invasive pulmonary aspergillosis in hematology patients. BMC Infect Dis. 2010 3;10:44</w:t>
      </w:r>
    </w:p>
    <w:p w:rsidR="005649D2" w:rsidRPr="00CF0F4C" w:rsidRDefault="005649D2" w:rsidP="00CF0F4C">
      <w:pPr>
        <w:pStyle w:val="Corpodetexto3"/>
        <w:numPr>
          <w:ilvl w:val="0"/>
          <w:numId w:val="2"/>
        </w:numPr>
        <w:shd w:val="clear" w:color="auto" w:fill="FFFFFF"/>
        <w:tabs>
          <w:tab w:val="clear" w:pos="720"/>
          <w:tab w:val="num" w:pos="284"/>
        </w:tabs>
        <w:spacing w:before="120" w:after="0"/>
        <w:ind w:left="284" w:hanging="284"/>
        <w:jc w:val="both"/>
        <w:rPr>
          <w:rFonts w:ascii="Arial" w:hAnsi="Arial"/>
          <w:sz w:val="22"/>
          <w:szCs w:val="22"/>
          <w:lang w:val="en-US"/>
        </w:rPr>
      </w:pPr>
      <w:r w:rsidRPr="00CF0F4C">
        <w:rPr>
          <w:rFonts w:ascii="Arial" w:hAnsi="Arial"/>
          <w:sz w:val="22"/>
          <w:szCs w:val="22"/>
          <w:lang w:val="en-US"/>
        </w:rPr>
        <w:t>Liguori G, Di Onofrio V, Gallé F, Lucariello A, Albano L, Catania MR, Guida M. Candida albicans identification: comparison among nine phenotypic systems and a multiplex PCR. J Prev Med Hyg. 2010.</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 xml:space="preserve">Li-Yang Hsu, Ying Ding, Jason Phua, Liang-Piu Koh, Douglas S Chan, Kay-Leong Khoo, Paul A Tambyah. Galactomannan testing of bronchoalveolar lavage fluid is useful for diagnosis of invasive pulmonary aspergillosis in hematology patients. </w:t>
      </w:r>
      <w:hyperlink r:id="rId14" w:tooltip="BMC genomics." w:history="1">
        <w:r w:rsidRPr="00CF0F4C">
          <w:rPr>
            <w:rFonts w:ascii="Arial" w:hAnsi="Arial"/>
            <w:sz w:val="22"/>
            <w:szCs w:val="22"/>
            <w:lang w:val="en-US"/>
          </w:rPr>
          <w:t>BMC Genomics.</w:t>
        </w:r>
      </w:hyperlink>
      <w:r w:rsidRPr="00CF0F4C">
        <w:rPr>
          <w:rFonts w:ascii="Arial" w:hAnsi="Arial"/>
          <w:sz w:val="22"/>
          <w:szCs w:val="22"/>
          <w:lang w:val="en-US"/>
        </w:rPr>
        <w:t xml:space="preserve"> 2011;12:75.</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 xml:space="preserve">Machado GC, Moris DV, Arantes TD, Silva LR, Theodoro RC, Mendes RP, Vicentini AP, Bagagli E. Cryptic species of Paracoccidioides brasiliensis: impact on paracoccidioidomycosis immunodiagnosis. </w:t>
      </w:r>
      <w:r w:rsidRPr="00CF0F4C">
        <w:rPr>
          <w:rFonts w:ascii="Arial" w:hAnsi="Arial"/>
          <w:sz w:val="22"/>
          <w:szCs w:val="22"/>
        </w:rPr>
        <w:t>Mem Inst Oswaldo Cruz. 2013;108(5):637-43</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Mancini N, De Carolis E, Infurnari L, Vella A, Clementi N, Vaccaro L, Ruggeri A, Posteraro B, Burioni R, Clementi M, Sanguinetti M. Comparative evaluation of the Bruker Biotyper and Vitek MS matrix-assisted laser desorption ionization-time of flight (MALDI-TOF) mass spectrometry systems for identification of yeasts of medical importance. J Clin Microbiol. 2013;51(7):2453-7</w:t>
      </w:r>
    </w:p>
    <w:p w:rsidR="005649D2" w:rsidRPr="00CF0F4C" w:rsidRDefault="005649D2" w:rsidP="004551EF">
      <w:pPr>
        <w:numPr>
          <w:ilvl w:val="0"/>
          <w:numId w:val="2"/>
        </w:numPr>
        <w:tabs>
          <w:tab w:val="clear" w:pos="720"/>
          <w:tab w:val="num" w:pos="284"/>
        </w:tabs>
        <w:suppressAutoHyphens/>
        <w:spacing w:before="120"/>
        <w:ind w:left="284" w:hanging="284"/>
        <w:jc w:val="both"/>
        <w:rPr>
          <w:rFonts w:ascii="Arial" w:hAnsi="Arial"/>
          <w:sz w:val="22"/>
          <w:szCs w:val="22"/>
          <w:lang w:val="en-US"/>
        </w:rPr>
      </w:pPr>
      <w:r w:rsidRPr="00CF0F4C">
        <w:rPr>
          <w:rFonts w:ascii="Arial" w:hAnsi="Arial"/>
          <w:sz w:val="22"/>
          <w:szCs w:val="22"/>
          <w:lang w:val="en-US"/>
        </w:rPr>
        <w:t xml:space="preserve">MANDELL GL, BENNETT JE, DOLIN R. MANDELL, DOUGLAS, AND BENNETT'S Principles and practice of infectious diseases. 5th ed. </w:t>
      </w:r>
      <w:smartTag w:uri="urn:schemas-microsoft-com:office:smarttags" w:element="City">
        <w:r w:rsidRPr="00CF0F4C">
          <w:rPr>
            <w:rFonts w:ascii="Arial" w:hAnsi="Arial"/>
            <w:sz w:val="22"/>
            <w:szCs w:val="22"/>
            <w:lang w:val="en-US"/>
          </w:rPr>
          <w:t>Philadelphia</w:t>
        </w:r>
      </w:smartTag>
      <w:r w:rsidRPr="00CF0F4C">
        <w:rPr>
          <w:rFonts w:ascii="Arial" w:hAnsi="Arial"/>
          <w:sz w:val="22"/>
          <w:szCs w:val="22"/>
          <w:lang w:val="en-US"/>
        </w:rPr>
        <w:t>: Churchill Livinstone; 2000.</w:t>
      </w:r>
    </w:p>
    <w:p w:rsidR="005649D2" w:rsidRPr="00CF0F4C" w:rsidRDefault="005649D2" w:rsidP="004551EF">
      <w:pPr>
        <w:numPr>
          <w:ilvl w:val="0"/>
          <w:numId w:val="2"/>
        </w:numPr>
        <w:tabs>
          <w:tab w:val="clear" w:pos="720"/>
          <w:tab w:val="num" w:pos="284"/>
        </w:tabs>
        <w:suppressAutoHyphens/>
        <w:spacing w:before="120"/>
        <w:ind w:left="284" w:hanging="284"/>
        <w:jc w:val="both"/>
        <w:rPr>
          <w:rFonts w:ascii="Arial" w:hAnsi="Arial"/>
          <w:sz w:val="22"/>
          <w:szCs w:val="22"/>
          <w:lang w:val="en-US"/>
        </w:rPr>
      </w:pPr>
      <w:r w:rsidRPr="00CF0F4C">
        <w:rPr>
          <w:rFonts w:ascii="Arial" w:hAnsi="Arial"/>
          <w:sz w:val="22"/>
          <w:szCs w:val="22"/>
        </w:rPr>
        <w:t xml:space="preserve">MINISTÉRIO DA SAÚDE, FUNDAÇÃO NACIONAL DA SAÚDE. Manual de Controle da Leishmaniose Tegumentar Americana. 5ª. Ed., Brasília, 2000. </w:t>
      </w:r>
      <w:r w:rsidRPr="00CF0F4C">
        <w:rPr>
          <w:rFonts w:ascii="Arial" w:hAnsi="Arial"/>
          <w:sz w:val="22"/>
          <w:szCs w:val="22"/>
          <w:lang w:val="en-US"/>
        </w:rPr>
        <w:t>62p.</w:t>
      </w:r>
    </w:p>
    <w:p w:rsidR="005649D2" w:rsidRPr="00CF0F4C" w:rsidRDefault="005649D2" w:rsidP="004551EF">
      <w:pPr>
        <w:numPr>
          <w:ilvl w:val="0"/>
          <w:numId w:val="2"/>
        </w:numPr>
        <w:tabs>
          <w:tab w:val="clear" w:pos="720"/>
          <w:tab w:val="num" w:pos="284"/>
        </w:tabs>
        <w:suppressAutoHyphens/>
        <w:spacing w:before="120"/>
        <w:ind w:left="284" w:hanging="284"/>
        <w:jc w:val="both"/>
        <w:rPr>
          <w:rFonts w:ascii="Arial" w:hAnsi="Arial"/>
          <w:sz w:val="22"/>
          <w:szCs w:val="22"/>
        </w:rPr>
      </w:pPr>
      <w:r w:rsidRPr="00CF0F4C">
        <w:rPr>
          <w:rFonts w:ascii="Arial" w:hAnsi="Arial"/>
          <w:sz w:val="22"/>
          <w:szCs w:val="22"/>
          <w:lang w:val="de-DE"/>
        </w:rPr>
        <w:t xml:space="preserve">MURRAY PR, ROSENTHAL, KS, PFALLER, MA. </w:t>
      </w:r>
      <w:r w:rsidRPr="00CF0F4C">
        <w:rPr>
          <w:rFonts w:ascii="Arial" w:hAnsi="Arial"/>
          <w:sz w:val="22"/>
          <w:szCs w:val="22"/>
          <w:lang w:val="en-US"/>
        </w:rPr>
        <w:t xml:space="preserve">Medical microbiology. 6th ed. </w:t>
      </w:r>
      <w:smartTag w:uri="urn:schemas-microsoft-com:office:smarttags" w:element="City">
        <w:r w:rsidRPr="00CF0F4C">
          <w:rPr>
            <w:rFonts w:ascii="Arial" w:hAnsi="Arial"/>
            <w:sz w:val="22"/>
            <w:szCs w:val="22"/>
            <w:lang w:val="en-US"/>
          </w:rPr>
          <w:t>St Louis</w:t>
        </w:r>
      </w:smartTag>
      <w:r w:rsidRPr="00CF0F4C">
        <w:rPr>
          <w:rFonts w:ascii="Arial" w:hAnsi="Arial"/>
          <w:sz w:val="22"/>
          <w:szCs w:val="22"/>
          <w:lang w:val="en-US"/>
        </w:rPr>
        <w:t xml:space="preserve">: Mosby; 2009. </w:t>
      </w:r>
      <w:r w:rsidRPr="00CF0F4C">
        <w:rPr>
          <w:rFonts w:ascii="Arial" w:hAnsi="Arial"/>
          <w:sz w:val="22"/>
          <w:szCs w:val="22"/>
        </w:rPr>
        <w:t>(Tradução: Editora Elsevier Ltda, Rio de Janeiro; 2010).</w:t>
      </w:r>
    </w:p>
    <w:p w:rsidR="005649D2" w:rsidRPr="00CF0F4C" w:rsidRDefault="005649D2" w:rsidP="00CF0F4C">
      <w:pPr>
        <w:pStyle w:val="Corpodetexto3"/>
        <w:numPr>
          <w:ilvl w:val="0"/>
          <w:numId w:val="2"/>
        </w:numPr>
        <w:shd w:val="clear" w:color="auto" w:fill="FFFFFF"/>
        <w:tabs>
          <w:tab w:val="clear" w:pos="720"/>
          <w:tab w:val="num" w:pos="284"/>
        </w:tabs>
        <w:spacing w:before="120" w:after="0"/>
        <w:ind w:left="284" w:hanging="284"/>
        <w:jc w:val="both"/>
        <w:rPr>
          <w:rFonts w:ascii="Arial" w:hAnsi="Arial"/>
          <w:sz w:val="22"/>
          <w:szCs w:val="22"/>
          <w:lang w:val="en-US"/>
        </w:rPr>
      </w:pPr>
      <w:r w:rsidRPr="00CF0F4C">
        <w:rPr>
          <w:rFonts w:ascii="Arial" w:hAnsi="Arial"/>
          <w:sz w:val="22"/>
          <w:szCs w:val="22"/>
          <w:lang w:val="en-US"/>
        </w:rPr>
        <w:t>Qureshi A, Wray D, Rhome R, Barry W, Del Poeta M. Detection of Antibody against Fungal Glucosylceramide in Immunocompromised Patients: A Potential New Diagnostic Approach for Cryptococcosis. Mycopathologia. 2011 Oct 5.</w:t>
      </w:r>
    </w:p>
    <w:p w:rsidR="005649D2" w:rsidRPr="00CF0F4C" w:rsidRDefault="005649D2" w:rsidP="00CF0F4C">
      <w:pPr>
        <w:pStyle w:val="Corpodetexto3"/>
        <w:numPr>
          <w:ilvl w:val="0"/>
          <w:numId w:val="2"/>
        </w:numPr>
        <w:shd w:val="clear" w:color="auto" w:fill="FFFFFF"/>
        <w:tabs>
          <w:tab w:val="clear" w:pos="720"/>
          <w:tab w:val="num" w:pos="284"/>
        </w:tabs>
        <w:spacing w:before="120" w:after="0"/>
        <w:ind w:left="284" w:hanging="284"/>
        <w:jc w:val="both"/>
        <w:rPr>
          <w:rFonts w:ascii="Arial" w:hAnsi="Arial"/>
          <w:sz w:val="22"/>
          <w:szCs w:val="22"/>
          <w:lang w:val="en-US"/>
        </w:rPr>
      </w:pPr>
      <w:r w:rsidRPr="00CF0F4C">
        <w:rPr>
          <w:rFonts w:ascii="Arial" w:hAnsi="Arial"/>
          <w:sz w:val="22"/>
          <w:szCs w:val="22"/>
          <w:lang w:val="en-US"/>
        </w:rPr>
        <w:t>Rogers TR, Morton CO, Springer J, Conneally E, Heinz W, Kenny C, Frost S, Einsele H, Loeffler J. Combined real-time PCR and galactomannan surveillance improves diagnosis of invasive aspergillosis in high risk patients with haematological malignancies.</w:t>
      </w:r>
      <w:r w:rsidRPr="00CF0F4C">
        <w:rPr>
          <w:rStyle w:val="apple-converted-space"/>
          <w:rFonts w:ascii="Arial" w:hAnsi="Arial"/>
          <w:sz w:val="22"/>
          <w:szCs w:val="22"/>
          <w:lang w:val="en-US"/>
        </w:rPr>
        <w:t> </w:t>
      </w:r>
      <w:r w:rsidRPr="00CF0F4C">
        <w:rPr>
          <w:rFonts w:ascii="Arial" w:hAnsi="Arial"/>
          <w:sz w:val="22"/>
          <w:szCs w:val="22"/>
        </w:rPr>
        <w:t>Br J Haematol. 2013;161(4):517-24</w:t>
      </w:r>
      <w:r w:rsidRPr="00CF0F4C">
        <w:rPr>
          <w:rFonts w:ascii="Arial" w:hAnsi="Arial" w:cs="Arial"/>
          <w:sz w:val="22"/>
          <w:szCs w:val="22"/>
        </w:rPr>
        <w:t>.</w:t>
      </w:r>
    </w:p>
    <w:p w:rsidR="005649D2" w:rsidRPr="00CF0F4C" w:rsidRDefault="005649D2" w:rsidP="00CF0F4C">
      <w:pPr>
        <w:pStyle w:val="Corpodetexto3"/>
        <w:numPr>
          <w:ilvl w:val="0"/>
          <w:numId w:val="2"/>
        </w:numPr>
        <w:shd w:val="clear" w:color="auto" w:fill="FFFFFF"/>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 xml:space="preserve">Swartzentruber S, Rhodes L, Kurkjian K, Zahn M, Brandt ME, Connolly P, Wheat LJ. Diagnosis of Acute Pulmonary Histoplasmosis by Antigen Detection, Clinical Infectious Diseases 2009; 49:1878–82. </w:t>
      </w:r>
    </w:p>
    <w:p w:rsidR="005649D2" w:rsidRPr="00CF0F4C" w:rsidRDefault="005649D2" w:rsidP="004551EF">
      <w:pPr>
        <w:pStyle w:val="Corpodetexto3"/>
        <w:numPr>
          <w:ilvl w:val="0"/>
          <w:numId w:val="2"/>
        </w:numPr>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Tanz RR, Gerber MA, Kabat W, Rippe J, Seshadri R, Shulman ST. Performance of a Rapid Antigen-Detection Test and Throat Culture in Community Pediatric Offices: Implications for Management of Pharyngitis. Pediatrics 2009;123;437-444.</w:t>
      </w:r>
    </w:p>
    <w:p w:rsidR="005649D2" w:rsidRPr="00CF0F4C" w:rsidRDefault="005649D2" w:rsidP="004551EF">
      <w:pPr>
        <w:pStyle w:val="Corpodetexto3"/>
        <w:numPr>
          <w:ilvl w:val="0"/>
          <w:numId w:val="2"/>
        </w:numPr>
        <w:tabs>
          <w:tab w:val="clear" w:pos="720"/>
          <w:tab w:val="num" w:pos="284"/>
        </w:tabs>
        <w:spacing w:before="120"/>
        <w:ind w:left="284" w:hanging="284"/>
        <w:jc w:val="both"/>
        <w:rPr>
          <w:rFonts w:ascii="Arial" w:hAnsi="Arial"/>
          <w:sz w:val="22"/>
          <w:szCs w:val="22"/>
          <w:lang w:val="en-US"/>
        </w:rPr>
      </w:pPr>
      <w:r w:rsidRPr="00CF0F4C">
        <w:rPr>
          <w:rFonts w:ascii="Arial" w:hAnsi="Arial"/>
          <w:sz w:val="22"/>
          <w:szCs w:val="22"/>
          <w:lang w:val="en-US"/>
        </w:rPr>
        <w:t xml:space="preserve">Vanhee LM, Meersseman W, Lagrou K, Maertens J, Nelis HJ, Coenye T. Rapid and direct quantification of viable Candida species in whole blood by use of immunomagnetic separation and solid-phase cytometry. J Clin Microbiol. 2010 Apr;48(4):1126-31. </w:t>
      </w:r>
    </w:p>
    <w:p w:rsidR="005649D2" w:rsidRPr="00CF0F4C" w:rsidRDefault="005649D2" w:rsidP="004551EF">
      <w:pPr>
        <w:numPr>
          <w:ilvl w:val="0"/>
          <w:numId w:val="2"/>
        </w:numPr>
        <w:tabs>
          <w:tab w:val="clear" w:pos="720"/>
          <w:tab w:val="num" w:pos="284"/>
        </w:tabs>
        <w:suppressAutoHyphens/>
        <w:spacing w:before="120"/>
        <w:ind w:left="284" w:hanging="284"/>
        <w:jc w:val="both"/>
        <w:rPr>
          <w:rFonts w:ascii="Arial" w:hAnsi="Arial"/>
          <w:sz w:val="22"/>
          <w:szCs w:val="22"/>
        </w:rPr>
      </w:pPr>
      <w:r w:rsidRPr="00CF0F4C">
        <w:rPr>
          <w:rFonts w:ascii="Arial" w:hAnsi="Arial"/>
          <w:sz w:val="22"/>
          <w:szCs w:val="22"/>
        </w:rPr>
        <w:lastRenderedPageBreak/>
        <w:t>VERONESI R, FOCACCIA R, ed. Tratado de Infectologia. São Paulo: Atheneu; 1997.</w:t>
      </w:r>
    </w:p>
    <w:p w:rsidR="005649D2" w:rsidRPr="00CF0F4C" w:rsidRDefault="005649D2" w:rsidP="004551EF">
      <w:pPr>
        <w:pStyle w:val="Corpodetexto3"/>
        <w:numPr>
          <w:ilvl w:val="0"/>
          <w:numId w:val="2"/>
        </w:numPr>
        <w:tabs>
          <w:tab w:val="clear" w:pos="720"/>
          <w:tab w:val="num" w:pos="284"/>
        </w:tabs>
        <w:spacing w:before="120" w:after="0"/>
        <w:ind w:left="284" w:hanging="284"/>
        <w:jc w:val="both"/>
        <w:rPr>
          <w:rFonts w:ascii="Arial" w:hAnsi="Arial"/>
          <w:sz w:val="22"/>
          <w:szCs w:val="22"/>
        </w:rPr>
      </w:pPr>
      <w:r w:rsidRPr="00CF0F4C">
        <w:rPr>
          <w:rFonts w:ascii="Arial" w:hAnsi="Arial"/>
          <w:sz w:val="22"/>
          <w:szCs w:val="22"/>
          <w:lang w:val="en-US"/>
        </w:rPr>
        <w:t>Wessels E, Schelfaut JJG, Bernards AT, Claas ECJ. Evaluation of several biochemical and molecular techniques for identification of Streptococcus pseudopneumoniae and Streptococcus pneumoniae and their detection in respiratory samples. J. Clin. Microbiol. 2012, 50(4):1171</w:t>
      </w:r>
    </w:p>
    <w:p w:rsidR="005649D2" w:rsidRPr="00CF0F4C" w:rsidRDefault="005649D2" w:rsidP="004551EF">
      <w:pPr>
        <w:pStyle w:val="Corpodetexto3"/>
        <w:numPr>
          <w:ilvl w:val="0"/>
          <w:numId w:val="2"/>
        </w:numPr>
        <w:tabs>
          <w:tab w:val="clear" w:pos="720"/>
          <w:tab w:val="num" w:pos="284"/>
        </w:tabs>
        <w:spacing w:before="120" w:after="0"/>
        <w:ind w:left="284" w:hanging="284"/>
        <w:jc w:val="both"/>
        <w:rPr>
          <w:rFonts w:ascii="Arial" w:hAnsi="Arial"/>
          <w:sz w:val="22"/>
          <w:szCs w:val="22"/>
        </w:rPr>
      </w:pPr>
      <w:r w:rsidRPr="00CF0F4C">
        <w:rPr>
          <w:rFonts w:ascii="Arial" w:hAnsi="Arial"/>
          <w:sz w:val="22"/>
          <w:szCs w:val="22"/>
        </w:rPr>
        <w:t xml:space="preserve">CERQUEIRA L.; FERNANDES, R.M.; FERREIRA, R.M.; OLEASTRO, M.; CARNEIRO, F.; BRANDÃO,C.; NUNES,P.P.; RIBEIRO, M.D.; FIGUEIREDO, C.; KEEVIL, C.W.; VIEIRA, M.J. AZEVEDO, N.F. Validation of a Fluorescence In Situ Hybridization Method Using Peptide Nucleic Acid Probes for Detection of </w:t>
      </w:r>
      <w:r w:rsidRPr="00CF0F4C">
        <w:rPr>
          <w:rFonts w:ascii="Arial" w:hAnsi="Arial"/>
          <w:i/>
          <w:sz w:val="22"/>
          <w:szCs w:val="22"/>
        </w:rPr>
        <w:t>Helicobacter pylori</w:t>
      </w:r>
      <w:r w:rsidRPr="00CF0F4C">
        <w:rPr>
          <w:rFonts w:ascii="Arial" w:hAnsi="Arial"/>
          <w:sz w:val="22"/>
          <w:szCs w:val="22"/>
        </w:rPr>
        <w:t xml:space="preserve"> Clarithromycin Resistance in Gastric Biopsy Specimens. </w:t>
      </w:r>
      <w:r w:rsidRPr="00CF0F4C">
        <w:rPr>
          <w:rFonts w:ascii="Arial" w:hAnsi="Arial"/>
          <w:i/>
          <w:sz w:val="22"/>
          <w:szCs w:val="22"/>
          <w:lang w:val="en-US"/>
        </w:rPr>
        <w:t>J. Clin Microbiol</w:t>
      </w:r>
      <w:r w:rsidRPr="00CF0F4C">
        <w:rPr>
          <w:rFonts w:ascii="Arial" w:hAnsi="Arial"/>
          <w:sz w:val="22"/>
          <w:szCs w:val="22"/>
          <w:lang w:val="en-US"/>
        </w:rPr>
        <w:t>. Vol.51, n. 6, p. 1881-1893, 2013</w:t>
      </w:r>
    </w:p>
    <w:p w:rsidR="005649D2" w:rsidRPr="00CF0F4C" w:rsidRDefault="005649D2" w:rsidP="004551EF">
      <w:pPr>
        <w:pStyle w:val="Corpodetexto3"/>
        <w:numPr>
          <w:ilvl w:val="0"/>
          <w:numId w:val="2"/>
        </w:numPr>
        <w:tabs>
          <w:tab w:val="clear" w:pos="720"/>
          <w:tab w:val="num" w:pos="284"/>
        </w:tabs>
        <w:spacing w:before="120" w:after="0"/>
        <w:ind w:left="284" w:hanging="284"/>
        <w:jc w:val="both"/>
        <w:rPr>
          <w:rFonts w:ascii="Arial" w:hAnsi="Arial"/>
          <w:sz w:val="22"/>
          <w:szCs w:val="22"/>
        </w:rPr>
      </w:pPr>
      <w:r w:rsidRPr="00CF0F4C">
        <w:rPr>
          <w:rFonts w:ascii="Arial" w:hAnsi="Arial"/>
          <w:sz w:val="22"/>
          <w:szCs w:val="22"/>
          <w:lang w:val="en-US"/>
        </w:rPr>
        <w:t xml:space="preserve">TURNER, P.; TURNER, C.; JANKHOT, A.; PHAKAUDOM, K.; NOSTEN, F.; GOLDBLATT, D. Field Evaluation of Culture plus Latex Sweep Serotyping for Detection of Multiple Pneumococcal Serotype Colonisation in Infants and Young Children. </w:t>
      </w:r>
      <w:r w:rsidRPr="00CF0F4C">
        <w:rPr>
          <w:rFonts w:ascii="Arial" w:hAnsi="Arial"/>
          <w:i/>
          <w:sz w:val="22"/>
          <w:szCs w:val="22"/>
          <w:lang w:val="en-US"/>
        </w:rPr>
        <w:t>PlosOne</w:t>
      </w:r>
      <w:r w:rsidRPr="00CF0F4C">
        <w:rPr>
          <w:rFonts w:ascii="Arial" w:hAnsi="Arial"/>
          <w:sz w:val="22"/>
          <w:szCs w:val="22"/>
          <w:lang w:val="en-US"/>
        </w:rPr>
        <w:t>, v. 8, n. 6, p. e67933, 2013</w:t>
      </w:r>
    </w:p>
    <w:p w:rsidR="005649D2" w:rsidRPr="00CF0F4C" w:rsidRDefault="000D1533" w:rsidP="004551EF">
      <w:pPr>
        <w:pStyle w:val="Corpodetexto3"/>
        <w:numPr>
          <w:ilvl w:val="0"/>
          <w:numId w:val="2"/>
        </w:numPr>
        <w:tabs>
          <w:tab w:val="clear" w:pos="720"/>
          <w:tab w:val="num" w:pos="284"/>
        </w:tabs>
        <w:spacing w:before="120" w:after="0"/>
        <w:ind w:left="284" w:hanging="284"/>
        <w:jc w:val="both"/>
        <w:rPr>
          <w:rFonts w:ascii="Arial" w:hAnsi="Arial"/>
          <w:sz w:val="22"/>
          <w:szCs w:val="22"/>
          <w:lang w:val="en-US"/>
        </w:rPr>
      </w:pPr>
      <w:hyperlink r:id="rId15" w:history="1">
        <w:r w:rsidR="005649D2" w:rsidRPr="00637C4D">
          <w:rPr>
            <w:rFonts w:ascii="Arial" w:hAnsi="Arial"/>
            <w:sz w:val="22"/>
            <w:szCs w:val="22"/>
          </w:rPr>
          <w:t>PAAUW A</w:t>
        </w:r>
      </w:hyperlink>
      <w:r w:rsidR="005649D2" w:rsidRPr="00637C4D">
        <w:rPr>
          <w:rFonts w:ascii="Arial" w:hAnsi="Arial"/>
          <w:sz w:val="22"/>
          <w:szCs w:val="22"/>
        </w:rPr>
        <w:t xml:space="preserve">, </w:t>
      </w:r>
      <w:hyperlink r:id="rId16" w:history="1">
        <w:r w:rsidR="005649D2" w:rsidRPr="00637C4D">
          <w:rPr>
            <w:rFonts w:ascii="Arial" w:hAnsi="Arial"/>
            <w:sz w:val="22"/>
            <w:szCs w:val="22"/>
          </w:rPr>
          <w:t>TRIP H</w:t>
        </w:r>
      </w:hyperlink>
      <w:r w:rsidR="005649D2" w:rsidRPr="00637C4D">
        <w:rPr>
          <w:rFonts w:ascii="Arial" w:hAnsi="Arial"/>
          <w:sz w:val="22"/>
          <w:szCs w:val="22"/>
        </w:rPr>
        <w:t xml:space="preserve">, </w:t>
      </w:r>
      <w:hyperlink r:id="rId17" w:history="1">
        <w:r w:rsidR="005649D2" w:rsidRPr="00637C4D">
          <w:rPr>
            <w:rFonts w:ascii="Arial" w:hAnsi="Arial"/>
            <w:sz w:val="22"/>
            <w:szCs w:val="22"/>
          </w:rPr>
          <w:t>NIEMCEWICZ M</w:t>
        </w:r>
      </w:hyperlink>
      <w:r w:rsidR="005649D2" w:rsidRPr="00637C4D">
        <w:rPr>
          <w:rFonts w:ascii="Arial" w:hAnsi="Arial"/>
          <w:sz w:val="22"/>
          <w:szCs w:val="22"/>
        </w:rPr>
        <w:t xml:space="preserve">, </w:t>
      </w:r>
      <w:hyperlink r:id="rId18" w:history="1">
        <w:r w:rsidR="005649D2" w:rsidRPr="00637C4D">
          <w:rPr>
            <w:rFonts w:ascii="Arial" w:hAnsi="Arial"/>
            <w:sz w:val="22"/>
            <w:szCs w:val="22"/>
          </w:rPr>
          <w:t>SELLEK R</w:t>
        </w:r>
      </w:hyperlink>
      <w:r w:rsidR="005649D2" w:rsidRPr="00637C4D">
        <w:rPr>
          <w:rFonts w:ascii="Arial" w:hAnsi="Arial"/>
          <w:sz w:val="22"/>
          <w:szCs w:val="22"/>
        </w:rPr>
        <w:t xml:space="preserve">, </w:t>
      </w:r>
      <w:hyperlink r:id="rId19" w:history="1">
        <w:r w:rsidR="005649D2" w:rsidRPr="00637C4D">
          <w:rPr>
            <w:rFonts w:ascii="Arial" w:hAnsi="Arial"/>
            <w:sz w:val="22"/>
            <w:szCs w:val="22"/>
          </w:rPr>
          <w:t>HENG JM</w:t>
        </w:r>
      </w:hyperlink>
      <w:r w:rsidR="005649D2" w:rsidRPr="00637C4D">
        <w:rPr>
          <w:rFonts w:ascii="Arial" w:hAnsi="Arial"/>
          <w:sz w:val="22"/>
          <w:szCs w:val="22"/>
        </w:rPr>
        <w:t xml:space="preserve">, </w:t>
      </w:r>
      <w:hyperlink r:id="rId20" w:history="1">
        <w:r w:rsidR="005649D2" w:rsidRPr="00637C4D">
          <w:rPr>
            <w:rFonts w:ascii="Arial" w:hAnsi="Arial"/>
            <w:sz w:val="22"/>
            <w:szCs w:val="22"/>
          </w:rPr>
          <w:t>MARS-GROENENDIJK RH</w:t>
        </w:r>
      </w:hyperlink>
      <w:r w:rsidR="005649D2" w:rsidRPr="00637C4D">
        <w:rPr>
          <w:rFonts w:ascii="Arial" w:hAnsi="Arial"/>
          <w:sz w:val="22"/>
          <w:szCs w:val="22"/>
        </w:rPr>
        <w:t xml:space="preserve">, </w:t>
      </w:r>
      <w:hyperlink r:id="rId21" w:history="1">
        <w:r w:rsidR="005649D2" w:rsidRPr="00637C4D">
          <w:rPr>
            <w:rFonts w:ascii="Arial" w:hAnsi="Arial"/>
            <w:sz w:val="22"/>
            <w:szCs w:val="22"/>
          </w:rPr>
          <w:t>DE JONG AL</w:t>
        </w:r>
      </w:hyperlink>
      <w:r w:rsidR="005649D2" w:rsidRPr="00637C4D">
        <w:rPr>
          <w:rFonts w:ascii="Arial" w:hAnsi="Arial"/>
          <w:sz w:val="22"/>
          <w:szCs w:val="22"/>
        </w:rPr>
        <w:t xml:space="preserve">, </w:t>
      </w:r>
      <w:hyperlink r:id="rId22" w:history="1">
        <w:r w:rsidR="005649D2" w:rsidRPr="00637C4D">
          <w:rPr>
            <w:rFonts w:ascii="Arial" w:hAnsi="Arial"/>
            <w:sz w:val="22"/>
            <w:szCs w:val="22"/>
          </w:rPr>
          <w:t>MAJCHRZYKIEWICZ-KOEHORST JA</w:t>
        </w:r>
      </w:hyperlink>
      <w:r w:rsidR="005649D2" w:rsidRPr="00637C4D">
        <w:rPr>
          <w:rFonts w:ascii="Arial" w:hAnsi="Arial"/>
          <w:sz w:val="22"/>
          <w:szCs w:val="22"/>
        </w:rPr>
        <w:t xml:space="preserve">, </w:t>
      </w:r>
      <w:hyperlink r:id="rId23" w:history="1">
        <w:r w:rsidR="005649D2" w:rsidRPr="00637C4D">
          <w:rPr>
            <w:rFonts w:ascii="Arial" w:hAnsi="Arial"/>
            <w:sz w:val="22"/>
            <w:szCs w:val="22"/>
          </w:rPr>
          <w:t>OLSEN JS</w:t>
        </w:r>
      </w:hyperlink>
      <w:r w:rsidR="005649D2" w:rsidRPr="00637C4D">
        <w:rPr>
          <w:rFonts w:ascii="Arial" w:hAnsi="Arial"/>
          <w:sz w:val="22"/>
          <w:szCs w:val="22"/>
        </w:rPr>
        <w:t xml:space="preserve">, </w:t>
      </w:r>
      <w:hyperlink r:id="rId24" w:history="1">
        <w:r w:rsidR="005649D2" w:rsidRPr="00637C4D">
          <w:rPr>
            <w:rFonts w:ascii="Arial" w:hAnsi="Arial"/>
            <w:sz w:val="22"/>
            <w:szCs w:val="22"/>
          </w:rPr>
          <w:t>TSIVTSIVADZE E</w:t>
        </w:r>
      </w:hyperlink>
      <w:r w:rsidR="005649D2" w:rsidRPr="00637C4D">
        <w:rPr>
          <w:rFonts w:ascii="Arial" w:hAnsi="Arial"/>
          <w:sz w:val="22"/>
          <w:szCs w:val="22"/>
        </w:rPr>
        <w:t xml:space="preserve">. </w:t>
      </w:r>
      <w:r w:rsidR="005649D2" w:rsidRPr="00CF0F4C">
        <w:rPr>
          <w:rFonts w:ascii="Arial" w:hAnsi="Arial"/>
          <w:sz w:val="22"/>
          <w:szCs w:val="22"/>
          <w:lang w:val="en-US"/>
        </w:rPr>
        <w:t xml:space="preserve">OmpU as a biomarker for rapid discrimination between toxigenic and epidemic Vibrio cholerae O1/O139 and non-epidemic Vibrio cholerae in a modified </w:t>
      </w:r>
      <w:r w:rsidR="005649D2" w:rsidRPr="00637C4D">
        <w:rPr>
          <w:rFonts w:ascii="Arial" w:hAnsi="Arial"/>
          <w:sz w:val="22"/>
          <w:szCs w:val="22"/>
          <w:lang w:val="en-US"/>
        </w:rPr>
        <w:t>MALDI-TOF</w:t>
      </w:r>
      <w:r w:rsidR="005649D2" w:rsidRPr="00CF0F4C">
        <w:rPr>
          <w:rFonts w:ascii="Arial" w:hAnsi="Arial"/>
          <w:sz w:val="22"/>
          <w:szCs w:val="22"/>
          <w:lang w:val="en-US"/>
        </w:rPr>
        <w:t xml:space="preserve"> MS assay. BMC Microbiol. v. 14, n. 1, p.158. 2014</w:t>
      </w:r>
    </w:p>
    <w:p w:rsidR="005649D2" w:rsidRPr="00CF0F4C" w:rsidRDefault="005649D2" w:rsidP="004551EF">
      <w:pPr>
        <w:pStyle w:val="Corpodetexto3"/>
        <w:spacing w:before="120" w:after="0"/>
        <w:jc w:val="both"/>
        <w:rPr>
          <w:rFonts w:ascii="Arial" w:hAnsi="Arial"/>
          <w:sz w:val="22"/>
          <w:szCs w:val="22"/>
        </w:rPr>
      </w:pPr>
    </w:p>
    <w:p w:rsidR="005649D2" w:rsidRPr="00CF0F4C" w:rsidRDefault="005649D2" w:rsidP="004551EF">
      <w:pPr>
        <w:spacing w:before="120"/>
        <w:rPr>
          <w:rFonts w:ascii="Arial" w:hAnsi="Arial"/>
          <w:sz w:val="22"/>
          <w:szCs w:val="22"/>
        </w:rPr>
      </w:pPr>
      <w:r w:rsidRPr="00CF0F4C">
        <w:rPr>
          <w:rFonts w:ascii="Arial" w:hAnsi="Arial"/>
          <w:sz w:val="22"/>
          <w:szCs w:val="22"/>
        </w:rPr>
        <w:t>REVISTAS ESPECIALIZADAS SOBRE O ASSUNTO</w:t>
      </w:r>
    </w:p>
    <w:p w:rsidR="005649D2" w:rsidRPr="00CF0F4C" w:rsidRDefault="005649D2" w:rsidP="007068CF">
      <w:pPr>
        <w:numPr>
          <w:ilvl w:val="0"/>
          <w:numId w:val="3"/>
        </w:numPr>
        <w:suppressAutoHyphens/>
        <w:ind w:left="284" w:hanging="284"/>
        <w:jc w:val="both"/>
        <w:rPr>
          <w:rFonts w:ascii="Arial" w:hAnsi="Arial"/>
          <w:sz w:val="22"/>
          <w:szCs w:val="22"/>
          <w:lang w:val="en-US"/>
        </w:rPr>
      </w:pPr>
      <w:r w:rsidRPr="00CF0F4C">
        <w:rPr>
          <w:rFonts w:ascii="Arial" w:hAnsi="Arial"/>
          <w:sz w:val="22"/>
          <w:szCs w:val="22"/>
          <w:lang w:val="en-US"/>
        </w:rPr>
        <w:t>Clinical and Applied Immunology Reviews</w:t>
      </w:r>
    </w:p>
    <w:p w:rsidR="005649D2" w:rsidRPr="00CF0F4C" w:rsidRDefault="005649D2" w:rsidP="007068CF">
      <w:pPr>
        <w:numPr>
          <w:ilvl w:val="0"/>
          <w:numId w:val="3"/>
        </w:numPr>
        <w:suppressAutoHyphens/>
        <w:ind w:left="284" w:hanging="284"/>
        <w:jc w:val="both"/>
        <w:rPr>
          <w:rFonts w:ascii="Arial" w:hAnsi="Arial"/>
          <w:sz w:val="22"/>
          <w:szCs w:val="22"/>
          <w:lang w:val="en-US"/>
        </w:rPr>
      </w:pPr>
      <w:r w:rsidRPr="00CF0F4C">
        <w:rPr>
          <w:rFonts w:ascii="Arial" w:hAnsi="Arial"/>
          <w:sz w:val="22"/>
          <w:szCs w:val="22"/>
          <w:lang w:val="en-US"/>
        </w:rPr>
        <w:t>General Microbiology</w:t>
      </w:r>
    </w:p>
    <w:p w:rsidR="005649D2" w:rsidRPr="00CF0F4C" w:rsidRDefault="005649D2" w:rsidP="007068CF">
      <w:pPr>
        <w:numPr>
          <w:ilvl w:val="0"/>
          <w:numId w:val="3"/>
        </w:numPr>
        <w:suppressAutoHyphens/>
        <w:ind w:left="284" w:hanging="284"/>
        <w:jc w:val="both"/>
        <w:rPr>
          <w:rFonts w:ascii="Arial" w:hAnsi="Arial"/>
          <w:sz w:val="22"/>
          <w:szCs w:val="22"/>
          <w:lang w:val="en-US"/>
        </w:rPr>
      </w:pPr>
      <w:r w:rsidRPr="00CF0F4C">
        <w:rPr>
          <w:rFonts w:ascii="Arial" w:hAnsi="Arial"/>
          <w:sz w:val="22"/>
          <w:szCs w:val="22"/>
          <w:lang w:val="en-US"/>
        </w:rPr>
        <w:t>Molecular and Biochemical Parasitology</w:t>
      </w:r>
    </w:p>
    <w:p w:rsidR="005649D2" w:rsidRPr="00CF0F4C" w:rsidRDefault="005649D2" w:rsidP="007068CF">
      <w:pPr>
        <w:pStyle w:val="Corpodetexto3"/>
        <w:numPr>
          <w:ilvl w:val="0"/>
          <w:numId w:val="3"/>
        </w:numPr>
        <w:spacing w:before="0" w:after="0"/>
        <w:ind w:left="284" w:hanging="284"/>
        <w:jc w:val="both"/>
        <w:rPr>
          <w:rFonts w:ascii="Arial" w:hAnsi="Arial"/>
          <w:sz w:val="22"/>
          <w:szCs w:val="22"/>
          <w:lang w:val="en-US"/>
        </w:rPr>
      </w:pPr>
      <w:r w:rsidRPr="00CF0F4C">
        <w:rPr>
          <w:rFonts w:ascii="Arial" w:hAnsi="Arial"/>
          <w:sz w:val="22"/>
          <w:szCs w:val="22"/>
          <w:lang w:val="en-US"/>
        </w:rPr>
        <w:t>Reviews in Molecular Biotechnolgy</w:t>
      </w:r>
    </w:p>
    <w:p w:rsidR="005649D2" w:rsidRDefault="005649D2" w:rsidP="005A211E">
      <w:pPr>
        <w:pStyle w:val="Corpodetexto3"/>
        <w:spacing w:before="0" w:after="0"/>
        <w:jc w:val="both"/>
        <w:rPr>
          <w:rFonts w:ascii="Arial" w:hAnsi="Arial"/>
          <w:sz w:val="22"/>
          <w:szCs w:val="22"/>
          <w:lang w:val="en-US"/>
        </w:rPr>
      </w:pPr>
    </w:p>
    <w:p w:rsidR="00587749" w:rsidRDefault="00587749" w:rsidP="005A211E">
      <w:pPr>
        <w:pStyle w:val="Corpodetexto3"/>
        <w:spacing w:before="0" w:after="0"/>
        <w:jc w:val="both"/>
        <w:rPr>
          <w:rFonts w:ascii="Arial" w:hAnsi="Arial"/>
          <w:sz w:val="22"/>
          <w:szCs w:val="22"/>
          <w:lang w:val="en-US"/>
        </w:rPr>
      </w:pPr>
    </w:p>
    <w:p w:rsidR="00587749" w:rsidRPr="00CF0F4C" w:rsidRDefault="00587749" w:rsidP="005A211E">
      <w:pPr>
        <w:pStyle w:val="Corpodetexto3"/>
        <w:spacing w:before="0" w:after="0"/>
        <w:jc w:val="both"/>
        <w:rPr>
          <w:rFonts w:ascii="Arial" w:hAnsi="Arial"/>
          <w:sz w:val="22"/>
          <w:szCs w:val="22"/>
          <w:lang w:val="en-US"/>
        </w:rPr>
      </w:pPr>
    </w:p>
    <w:p w:rsidR="005649D2" w:rsidRPr="00CF0F4C" w:rsidRDefault="005649D2" w:rsidP="005A211E">
      <w:pPr>
        <w:pStyle w:val="Corpodetexto3"/>
        <w:spacing w:before="0" w:after="0"/>
        <w:jc w:val="both"/>
        <w:rPr>
          <w:rFonts w:ascii="Arial" w:hAnsi="Arial"/>
          <w:sz w:val="22"/>
          <w:szCs w:val="22"/>
          <w:lang w:val="en-US"/>
        </w:rPr>
      </w:pPr>
    </w:p>
    <w:tbl>
      <w:tblPr>
        <w:tblW w:w="86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645"/>
      </w:tblGrid>
      <w:tr w:rsidR="00587749" w:rsidTr="00A96C81">
        <w:tc>
          <w:tcPr>
            <w:tcW w:w="8645" w:type="dxa"/>
            <w:tcBorders>
              <w:top w:val="double" w:sz="4" w:space="0" w:color="auto"/>
              <w:left w:val="double" w:sz="4" w:space="0" w:color="auto"/>
              <w:bottom w:val="double" w:sz="4" w:space="0" w:color="auto"/>
              <w:right w:val="double" w:sz="4" w:space="0" w:color="auto"/>
            </w:tcBorders>
            <w:shd w:val="pct15" w:color="auto" w:fill="FFFFFF"/>
          </w:tcPr>
          <w:p w:rsidR="00587749" w:rsidRDefault="00587749" w:rsidP="00A96C81">
            <w:pPr>
              <w:pStyle w:val="Ttulo1"/>
              <w:spacing w:before="60" w:after="60"/>
              <w:rPr>
                <w:rFonts w:cs="Arial"/>
                <w:sz w:val="22"/>
                <w:szCs w:val="22"/>
              </w:rPr>
            </w:pPr>
            <w:r>
              <w:rPr>
                <w:rFonts w:cs="Arial"/>
                <w:sz w:val="22"/>
                <w:szCs w:val="22"/>
              </w:rPr>
              <w:t>CRITÉRIOS DE AVALIAÇÃO DA APRENDIZAGEM</w:t>
            </w:r>
          </w:p>
        </w:tc>
      </w:tr>
    </w:tbl>
    <w:p w:rsidR="005649D2" w:rsidRPr="007068CF" w:rsidRDefault="005649D2" w:rsidP="004551EF">
      <w:pPr>
        <w:pStyle w:val="Corpodetexto2"/>
        <w:snapToGrid w:val="0"/>
        <w:rPr>
          <w:color w:val="FF0000"/>
          <w:sz w:val="22"/>
          <w:szCs w:val="22"/>
          <w:lang w:val="en-U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4322"/>
        <w:gridCol w:w="4322"/>
      </w:tblGrid>
      <w:tr w:rsidR="005649D2" w:rsidRPr="00F80D18" w:rsidTr="00861075">
        <w:trPr>
          <w:cantSplit/>
        </w:trPr>
        <w:tc>
          <w:tcPr>
            <w:tcW w:w="4322" w:type="dxa"/>
            <w:tcBorders>
              <w:top w:val="double" w:sz="4" w:space="0" w:color="auto"/>
            </w:tcBorders>
          </w:tcPr>
          <w:p w:rsidR="005649D2" w:rsidRPr="00F80D18" w:rsidRDefault="005649D2" w:rsidP="00861075">
            <w:pPr>
              <w:spacing w:before="60" w:after="60"/>
              <w:jc w:val="center"/>
              <w:rPr>
                <w:rFonts w:ascii="Arial" w:hAnsi="Arial" w:cs="Arial"/>
              </w:rPr>
            </w:pPr>
            <w:r w:rsidRPr="00F80D18">
              <w:rPr>
                <w:rFonts w:ascii="Arial" w:hAnsi="Arial" w:cs="Arial"/>
              </w:rPr>
              <w:t>1ª</w:t>
            </w:r>
          </w:p>
        </w:tc>
        <w:tc>
          <w:tcPr>
            <w:tcW w:w="4322" w:type="dxa"/>
            <w:tcBorders>
              <w:top w:val="double" w:sz="4" w:space="0" w:color="auto"/>
            </w:tcBorders>
          </w:tcPr>
          <w:p w:rsidR="005649D2" w:rsidRPr="00F80D18" w:rsidRDefault="005649D2" w:rsidP="00861075">
            <w:pPr>
              <w:spacing w:before="60" w:after="60"/>
              <w:jc w:val="center"/>
              <w:rPr>
                <w:rFonts w:ascii="Arial" w:hAnsi="Arial" w:cs="Arial"/>
              </w:rPr>
            </w:pPr>
            <w:r w:rsidRPr="00F80D18">
              <w:rPr>
                <w:rFonts w:ascii="Arial" w:hAnsi="Arial" w:cs="Arial"/>
              </w:rPr>
              <w:t>2ª</w:t>
            </w:r>
          </w:p>
        </w:tc>
      </w:tr>
      <w:tr w:rsidR="005649D2" w:rsidRPr="00F80D18" w:rsidTr="00861075">
        <w:trPr>
          <w:cantSplit/>
        </w:trPr>
        <w:tc>
          <w:tcPr>
            <w:tcW w:w="8644" w:type="dxa"/>
            <w:gridSpan w:val="2"/>
          </w:tcPr>
          <w:p w:rsidR="005649D2" w:rsidRPr="00F80D18" w:rsidRDefault="005649D2" w:rsidP="00861075">
            <w:pPr>
              <w:spacing w:before="60" w:after="60"/>
              <w:jc w:val="center"/>
              <w:rPr>
                <w:rFonts w:ascii="Arial" w:hAnsi="Arial" w:cs="Arial"/>
                <w:sz w:val="20"/>
              </w:rPr>
            </w:pPr>
            <w:r w:rsidRPr="00F80D18">
              <w:rPr>
                <w:rFonts w:ascii="Arial" w:hAnsi="Arial" w:cs="Arial"/>
                <w:sz w:val="20"/>
              </w:rPr>
              <w:t>DETALHAR ABAIXO O PROCESSO DE VERIFICAÇÕES DE APRENDIZAGEM (PROVAS, AVALIAÇÃO CONTÍNUA, SEMINÁRIOS, TRABALHOS, ETC)</w:t>
            </w:r>
          </w:p>
        </w:tc>
      </w:tr>
      <w:tr w:rsidR="005649D2" w:rsidRPr="00F80D18" w:rsidTr="00861075">
        <w:trPr>
          <w:cantSplit/>
        </w:trPr>
        <w:tc>
          <w:tcPr>
            <w:tcW w:w="8644" w:type="dxa"/>
            <w:gridSpan w:val="2"/>
            <w:tcBorders>
              <w:bottom w:val="double" w:sz="4" w:space="0" w:color="auto"/>
            </w:tcBorders>
          </w:tcPr>
          <w:p w:rsidR="005649D2" w:rsidRPr="00F80D18" w:rsidRDefault="005649D2" w:rsidP="00861075">
            <w:pPr>
              <w:spacing w:before="60" w:after="60"/>
              <w:ind w:left="426" w:hanging="426"/>
              <w:jc w:val="both"/>
              <w:rPr>
                <w:rFonts w:ascii="Arial" w:hAnsi="Arial" w:cs="Arial"/>
                <w:szCs w:val="22"/>
              </w:rPr>
            </w:pPr>
            <w:r w:rsidRPr="00F80D18">
              <w:rPr>
                <w:rFonts w:ascii="Arial" w:hAnsi="Arial" w:cs="Arial"/>
                <w:sz w:val="22"/>
                <w:szCs w:val="22"/>
              </w:rPr>
              <w:t>1ª - Apresentação de seminários, com valor de 0 (zero) à 10 (dez) pontos.</w:t>
            </w:r>
          </w:p>
          <w:p w:rsidR="00587749" w:rsidRDefault="00587749" w:rsidP="00587749">
            <w:pPr>
              <w:pStyle w:val="Recuodecorpodetexto"/>
              <w:ind w:left="0"/>
              <w:rPr>
                <w:rFonts w:ascii="Arial" w:hAnsi="Arial" w:cs="Arial"/>
                <w:sz w:val="22"/>
                <w:szCs w:val="22"/>
              </w:rPr>
            </w:pPr>
          </w:p>
          <w:p w:rsidR="005649D2" w:rsidRPr="00F80D18" w:rsidRDefault="005649D2" w:rsidP="00587749">
            <w:pPr>
              <w:pStyle w:val="Recuodecorpodetexto"/>
              <w:ind w:left="0"/>
              <w:rPr>
                <w:rFonts w:ascii="Arial" w:hAnsi="Arial" w:cs="Arial"/>
                <w:szCs w:val="22"/>
              </w:rPr>
            </w:pPr>
            <w:r w:rsidRPr="00F80D18">
              <w:rPr>
                <w:rFonts w:ascii="Arial" w:hAnsi="Arial" w:cs="Arial"/>
                <w:sz w:val="22"/>
                <w:szCs w:val="22"/>
              </w:rPr>
              <w:t>2ª - Participação nas discussões em aula e durante a apresentação dos seminários, valendo de 0 (zero) à (10) pontos.</w:t>
            </w:r>
          </w:p>
          <w:p w:rsidR="00587749" w:rsidRDefault="00587749" w:rsidP="00861075">
            <w:pPr>
              <w:spacing w:before="60" w:after="60"/>
              <w:jc w:val="both"/>
              <w:rPr>
                <w:rFonts w:ascii="Arial" w:hAnsi="Arial" w:cs="Arial"/>
                <w:sz w:val="22"/>
                <w:szCs w:val="22"/>
              </w:rPr>
            </w:pPr>
          </w:p>
          <w:p w:rsidR="005649D2" w:rsidRPr="00587749" w:rsidRDefault="005649D2" w:rsidP="003D46B7">
            <w:pPr>
              <w:spacing w:before="60" w:after="60"/>
              <w:jc w:val="both"/>
              <w:rPr>
                <w:rFonts w:ascii="Arial" w:hAnsi="Arial" w:cs="Arial"/>
                <w:sz w:val="22"/>
                <w:szCs w:val="22"/>
              </w:rPr>
            </w:pPr>
            <w:r w:rsidRPr="00587749">
              <w:rPr>
                <w:rFonts w:ascii="Arial" w:hAnsi="Arial" w:cs="Arial"/>
                <w:sz w:val="22"/>
                <w:szCs w:val="22"/>
              </w:rPr>
              <w:t>A nota final será a média aritmética simples das avaliações.</w:t>
            </w:r>
          </w:p>
        </w:tc>
      </w:tr>
    </w:tbl>
    <w:p w:rsidR="005649D2" w:rsidRPr="007068CF" w:rsidRDefault="005649D2" w:rsidP="00C6718B">
      <w:pPr>
        <w:pStyle w:val="Corpodetexto2"/>
        <w:snapToGrid w:val="0"/>
        <w:rPr>
          <w:sz w:val="22"/>
          <w:szCs w:val="22"/>
          <w:lang w:val="en-US"/>
        </w:rPr>
      </w:pPr>
    </w:p>
    <w:sectPr w:rsidR="005649D2" w:rsidRPr="007068CF" w:rsidSect="0018607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77E" w:rsidRDefault="0068077E">
      <w:r>
        <w:separator/>
      </w:r>
    </w:p>
  </w:endnote>
  <w:endnote w:type="continuationSeparator" w:id="1">
    <w:p w:rsidR="0068077E" w:rsidRDefault="00680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77E" w:rsidRDefault="0068077E">
      <w:r>
        <w:separator/>
      </w:r>
    </w:p>
  </w:footnote>
  <w:footnote w:type="continuationSeparator" w:id="1">
    <w:p w:rsidR="0068077E" w:rsidRDefault="00680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49187240"/>
    <w:multiLevelType w:val="hybridMultilevel"/>
    <w:tmpl w:val="6ED8E876"/>
    <w:lvl w:ilvl="0" w:tplc="874623C4">
      <w:start w:val="1"/>
      <w:numFmt w:val="decimal"/>
      <w:lvlText w:val="%1."/>
      <w:lvlJc w:val="left"/>
      <w:pPr>
        <w:tabs>
          <w:tab w:val="num" w:pos="720"/>
        </w:tabs>
        <w:ind w:left="720" w:hanging="360"/>
      </w:pPr>
      <w:rPr>
        <w:rFonts w:ascii="Times New Roman" w:eastAsia="Times New Roman" w:hAnsi="Times New Roman" w:cs="Times New Roman"/>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D7710DF"/>
    <w:multiLevelType w:val="hybridMultilevel"/>
    <w:tmpl w:val="E56857CE"/>
    <w:lvl w:ilvl="0" w:tplc="0416000F">
      <w:start w:val="1"/>
      <w:numFmt w:val="decimal"/>
      <w:lvlText w:val="%1."/>
      <w:lvlJc w:val="left"/>
      <w:pPr>
        <w:ind w:left="1004" w:hanging="360"/>
      </w:pPr>
      <w:rPr>
        <w:rFonts w:cs="Times New Roman"/>
      </w:rPr>
    </w:lvl>
    <w:lvl w:ilvl="1" w:tplc="04160019" w:tentative="1">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A19F9"/>
    <w:rsid w:val="00001C49"/>
    <w:rsid w:val="000D1533"/>
    <w:rsid w:val="000F0BBF"/>
    <w:rsid w:val="00126B15"/>
    <w:rsid w:val="00157495"/>
    <w:rsid w:val="00186071"/>
    <w:rsid w:val="00205337"/>
    <w:rsid w:val="002E3A06"/>
    <w:rsid w:val="003478E5"/>
    <w:rsid w:val="003D46B7"/>
    <w:rsid w:val="004041F3"/>
    <w:rsid w:val="00413442"/>
    <w:rsid w:val="004551EF"/>
    <w:rsid w:val="005649D2"/>
    <w:rsid w:val="005732D8"/>
    <w:rsid w:val="0058141F"/>
    <w:rsid w:val="00587749"/>
    <w:rsid w:val="005A19F9"/>
    <w:rsid w:val="005A211E"/>
    <w:rsid w:val="00637C4D"/>
    <w:rsid w:val="0068077E"/>
    <w:rsid w:val="007068CF"/>
    <w:rsid w:val="007D1869"/>
    <w:rsid w:val="00841946"/>
    <w:rsid w:val="00861075"/>
    <w:rsid w:val="0087369E"/>
    <w:rsid w:val="00937A8F"/>
    <w:rsid w:val="009E0D7A"/>
    <w:rsid w:val="00B32736"/>
    <w:rsid w:val="00BD4BAA"/>
    <w:rsid w:val="00C03F82"/>
    <w:rsid w:val="00C6718B"/>
    <w:rsid w:val="00CF0F4C"/>
    <w:rsid w:val="00D37DB9"/>
    <w:rsid w:val="00D94D86"/>
    <w:rsid w:val="00DC12FA"/>
    <w:rsid w:val="00E46805"/>
    <w:rsid w:val="00E81FDB"/>
    <w:rsid w:val="00EA3B85"/>
    <w:rsid w:val="00F80D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F9"/>
    <w:rPr>
      <w:rFonts w:ascii="Bookman Old Style" w:hAnsi="Bookman Old Style"/>
      <w:sz w:val="24"/>
      <w:szCs w:val="20"/>
    </w:rPr>
  </w:style>
  <w:style w:type="paragraph" w:styleId="Ttulo1">
    <w:name w:val="heading 1"/>
    <w:basedOn w:val="Normal"/>
    <w:next w:val="Normal"/>
    <w:link w:val="Ttulo1Char"/>
    <w:uiPriority w:val="99"/>
    <w:qFormat/>
    <w:rsid w:val="005A19F9"/>
    <w:pPr>
      <w:keepNext/>
      <w:jc w:val="center"/>
      <w:outlineLvl w:val="0"/>
    </w:pPr>
    <w:rPr>
      <w:rFonts w:ascii="Arial" w:hAnsi="Arial"/>
      <w:b/>
    </w:rPr>
  </w:style>
  <w:style w:type="paragraph" w:styleId="Ttulo2">
    <w:name w:val="heading 2"/>
    <w:basedOn w:val="Normal"/>
    <w:next w:val="Normal"/>
    <w:link w:val="Ttulo2Char"/>
    <w:uiPriority w:val="99"/>
    <w:qFormat/>
    <w:rsid w:val="005A19F9"/>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4551EF"/>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D153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D153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0D1533"/>
    <w:rPr>
      <w:rFonts w:ascii="Cambria" w:hAnsi="Cambria" w:cs="Times New Roman"/>
      <w:b/>
      <w:bCs/>
      <w:sz w:val="26"/>
      <w:szCs w:val="26"/>
    </w:rPr>
  </w:style>
  <w:style w:type="paragraph" w:styleId="Corpodetexto">
    <w:name w:val="Body Text"/>
    <w:basedOn w:val="Normal"/>
    <w:link w:val="CorpodetextoChar"/>
    <w:uiPriority w:val="99"/>
    <w:rsid w:val="004551EF"/>
    <w:pPr>
      <w:suppressAutoHyphens/>
      <w:spacing w:before="60" w:after="60"/>
      <w:jc w:val="both"/>
    </w:pPr>
    <w:rPr>
      <w:rFonts w:ascii="Times New Roman" w:hAnsi="Times New Roman"/>
      <w:sz w:val="20"/>
    </w:rPr>
  </w:style>
  <w:style w:type="character" w:customStyle="1" w:styleId="CorpodetextoChar">
    <w:name w:val="Corpo de texto Char"/>
    <w:basedOn w:val="Fontepargpadro"/>
    <w:link w:val="Corpodetexto"/>
    <w:uiPriority w:val="99"/>
    <w:semiHidden/>
    <w:locked/>
    <w:rsid w:val="000D1533"/>
    <w:rPr>
      <w:rFonts w:ascii="Bookman Old Style" w:hAnsi="Bookman Old Style" w:cs="Times New Roman"/>
      <w:sz w:val="20"/>
      <w:szCs w:val="20"/>
    </w:rPr>
  </w:style>
  <w:style w:type="paragraph" w:styleId="Corpodetexto2">
    <w:name w:val="Body Text 2"/>
    <w:basedOn w:val="Normal"/>
    <w:link w:val="Corpodetexto2Char"/>
    <w:uiPriority w:val="99"/>
    <w:rsid w:val="004551EF"/>
    <w:pPr>
      <w:suppressAutoHyphens/>
      <w:spacing w:before="60" w:after="60"/>
      <w:jc w:val="both"/>
    </w:pPr>
    <w:rPr>
      <w:rFonts w:ascii="Times New Roman" w:hAnsi="Times New Roman"/>
    </w:rPr>
  </w:style>
  <w:style w:type="character" w:customStyle="1" w:styleId="Corpodetexto2Char">
    <w:name w:val="Corpo de texto 2 Char"/>
    <w:basedOn w:val="Fontepargpadro"/>
    <w:link w:val="Corpodetexto2"/>
    <w:uiPriority w:val="99"/>
    <w:semiHidden/>
    <w:locked/>
    <w:rsid w:val="000D1533"/>
    <w:rPr>
      <w:rFonts w:ascii="Bookman Old Style" w:hAnsi="Bookman Old Style" w:cs="Times New Roman"/>
      <w:sz w:val="20"/>
      <w:szCs w:val="20"/>
    </w:rPr>
  </w:style>
  <w:style w:type="paragraph" w:styleId="Corpodetexto3">
    <w:name w:val="Body Text 3"/>
    <w:basedOn w:val="Normal"/>
    <w:link w:val="Corpodetexto3Char"/>
    <w:uiPriority w:val="99"/>
    <w:rsid w:val="004551EF"/>
    <w:pPr>
      <w:suppressAutoHyphens/>
      <w:spacing w:before="60" w:after="60"/>
    </w:pPr>
    <w:rPr>
      <w:rFonts w:ascii="Times New Roman" w:hAnsi="Times New Roman"/>
      <w:sz w:val="20"/>
    </w:rPr>
  </w:style>
  <w:style w:type="character" w:customStyle="1" w:styleId="Corpodetexto3Char">
    <w:name w:val="Corpo de texto 3 Char"/>
    <w:basedOn w:val="Fontepargpadro"/>
    <w:link w:val="Corpodetexto3"/>
    <w:uiPriority w:val="99"/>
    <w:semiHidden/>
    <w:locked/>
    <w:rsid w:val="000D1533"/>
    <w:rPr>
      <w:rFonts w:ascii="Bookman Old Style" w:hAnsi="Bookman Old Style" w:cs="Times New Roman"/>
      <w:sz w:val="16"/>
      <w:szCs w:val="16"/>
    </w:rPr>
  </w:style>
  <w:style w:type="paragraph" w:styleId="Textodenotaderodap">
    <w:name w:val="footnote text"/>
    <w:basedOn w:val="Normal"/>
    <w:link w:val="TextodenotaderodapChar"/>
    <w:uiPriority w:val="99"/>
    <w:semiHidden/>
    <w:rsid w:val="004551EF"/>
    <w:pPr>
      <w:suppressAutoHyphens/>
    </w:pPr>
    <w:rPr>
      <w:sz w:val="20"/>
    </w:rPr>
  </w:style>
  <w:style w:type="character" w:customStyle="1" w:styleId="TextodenotaderodapChar">
    <w:name w:val="Texto de nota de rodapé Char"/>
    <w:basedOn w:val="Fontepargpadro"/>
    <w:link w:val="Textodenotaderodap"/>
    <w:uiPriority w:val="99"/>
    <w:semiHidden/>
    <w:locked/>
    <w:rsid w:val="000D1533"/>
    <w:rPr>
      <w:rFonts w:ascii="Bookman Old Style" w:hAnsi="Bookman Old Style" w:cs="Times New Roman"/>
      <w:sz w:val="20"/>
      <w:szCs w:val="20"/>
    </w:rPr>
  </w:style>
  <w:style w:type="character" w:styleId="Refdenotaderodap">
    <w:name w:val="footnote reference"/>
    <w:basedOn w:val="Fontepargpadro"/>
    <w:uiPriority w:val="99"/>
    <w:semiHidden/>
    <w:rsid w:val="004551EF"/>
    <w:rPr>
      <w:rFonts w:cs="Times New Roman"/>
      <w:vertAlign w:val="superscript"/>
    </w:rPr>
  </w:style>
  <w:style w:type="character" w:customStyle="1" w:styleId="jrnl">
    <w:name w:val="jrnl"/>
    <w:uiPriority w:val="99"/>
    <w:rsid w:val="004551EF"/>
  </w:style>
  <w:style w:type="character" w:customStyle="1" w:styleId="apple-converted-space">
    <w:name w:val="apple-converted-space"/>
    <w:basedOn w:val="Fontepargpadro"/>
    <w:uiPriority w:val="99"/>
    <w:rsid w:val="004551EF"/>
    <w:rPr>
      <w:rFonts w:cs="Times New Roman"/>
    </w:rPr>
  </w:style>
  <w:style w:type="character" w:styleId="Hyperlink">
    <w:name w:val="Hyperlink"/>
    <w:basedOn w:val="Fontepargpadro"/>
    <w:uiPriority w:val="99"/>
    <w:rsid w:val="005A211E"/>
    <w:rPr>
      <w:rFonts w:cs="Times New Roman"/>
      <w:color w:val="0000FF"/>
      <w:u w:val="single"/>
    </w:rPr>
  </w:style>
  <w:style w:type="character" w:customStyle="1" w:styleId="highlight">
    <w:name w:val="highlight"/>
    <w:uiPriority w:val="99"/>
    <w:rsid w:val="005A211E"/>
  </w:style>
  <w:style w:type="paragraph" w:styleId="Recuodecorpodetexto">
    <w:name w:val="Body Text Indent"/>
    <w:basedOn w:val="Normal"/>
    <w:link w:val="RecuodecorpodetextoChar"/>
    <w:uiPriority w:val="99"/>
    <w:rsid w:val="00637C4D"/>
    <w:pPr>
      <w:spacing w:after="120"/>
      <w:ind w:left="283"/>
    </w:pPr>
  </w:style>
  <w:style w:type="character" w:customStyle="1" w:styleId="RecuodecorpodetextoChar">
    <w:name w:val="Recuo de corpo de texto Char"/>
    <w:basedOn w:val="Fontepargpadro"/>
    <w:link w:val="Recuodecorpodetexto"/>
    <w:uiPriority w:val="99"/>
    <w:semiHidden/>
    <w:locked/>
    <w:rsid w:val="000D1533"/>
    <w:rPr>
      <w:rFonts w:ascii="Bookman Old Style" w:hAnsi="Bookman Old Style"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Ding%20Y%22%5BAuthor%5D" TargetMode="External"/><Relationship Id="rId13" Type="http://schemas.openxmlformats.org/officeDocument/2006/relationships/hyperlink" Target="http://www.ncbi.nlm.nih.gov/pubmed?term=%22Tambyah%20PA%22%5BAuthor%5D" TargetMode="External"/><Relationship Id="rId18" Type="http://schemas.openxmlformats.org/officeDocument/2006/relationships/hyperlink" Target="http://www.ncbi.nlm.nih.gov/pubmed?term=Sellek%20R%5BAuthor%5D&amp;cauthor=true&amp;cauthor_uid=249432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bi.nlm.nih.gov/pubmed?term=de%20Jong%20AL%5BAuthor%5D&amp;cauthor=true&amp;cauthor_uid=24943244" TargetMode="External"/><Relationship Id="rId7" Type="http://schemas.openxmlformats.org/officeDocument/2006/relationships/hyperlink" Target="http://www.ncbi.nlm.nih.gov/pubmed?term=%22Hsu%20LY%22%5BAuthor%5D" TargetMode="External"/><Relationship Id="rId12" Type="http://schemas.openxmlformats.org/officeDocument/2006/relationships/hyperlink" Target="http://www.ncbi.nlm.nih.gov/pubmed?term=%22Khoo%20KL%22%5BAuthor%5D" TargetMode="External"/><Relationship Id="rId17" Type="http://schemas.openxmlformats.org/officeDocument/2006/relationships/hyperlink" Target="http://www.ncbi.nlm.nih.gov/pubmed?term=Niemcewicz%20M%5BAuthor%5D&amp;cauthor=true&amp;cauthor_uid=249432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Trip%20H%5BAuthor%5D&amp;cauthor=true&amp;cauthor_uid=24943244" TargetMode="External"/><Relationship Id="rId20" Type="http://schemas.openxmlformats.org/officeDocument/2006/relationships/hyperlink" Target="http://www.ncbi.nlm.nih.gov/pubmed?term=Mars-Groenendijk%20RH%5BAuthor%5D&amp;cauthor=true&amp;cauthor_uid=249432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Chan%20DS%22%5BAuthor%5D" TargetMode="External"/><Relationship Id="rId24" Type="http://schemas.openxmlformats.org/officeDocument/2006/relationships/hyperlink" Target="http://www.ncbi.nlm.nih.gov/pubmed?term=Tsivtsivadze%20E%5BAuthor%5D&amp;cauthor=true&amp;cauthor_uid=24943244" TargetMode="External"/><Relationship Id="rId5" Type="http://schemas.openxmlformats.org/officeDocument/2006/relationships/footnotes" Target="footnotes.xml"/><Relationship Id="rId15" Type="http://schemas.openxmlformats.org/officeDocument/2006/relationships/hyperlink" Target="http://www.ncbi.nlm.nih.gov/pubmed?term=Paauw%20A%5BAuthor%5D&amp;cauthor=true&amp;cauthor_uid=24943244" TargetMode="External"/><Relationship Id="rId23" Type="http://schemas.openxmlformats.org/officeDocument/2006/relationships/hyperlink" Target="http://www.ncbi.nlm.nih.gov/pubmed?term=Olsen%20JS%5BAuthor%5D&amp;cauthor=true&amp;cauthor_uid=24943244" TargetMode="External"/><Relationship Id="rId10" Type="http://schemas.openxmlformats.org/officeDocument/2006/relationships/hyperlink" Target="http://www.ncbi.nlm.nih.gov/pubmed?term=%22Koh%20LP%22%5BAuthor%5D" TargetMode="External"/><Relationship Id="rId19" Type="http://schemas.openxmlformats.org/officeDocument/2006/relationships/hyperlink" Target="http://www.ncbi.nlm.nih.gov/pubmed?term=Heng%20JM%5BAuthor%5D&amp;cauthor=true&amp;cauthor_uid=24943244" TargetMode="External"/><Relationship Id="rId4" Type="http://schemas.openxmlformats.org/officeDocument/2006/relationships/webSettings" Target="webSettings.xml"/><Relationship Id="rId9" Type="http://schemas.openxmlformats.org/officeDocument/2006/relationships/hyperlink" Target="http://www.ncbi.nlm.nih.gov/pubmed?term=%22Phua%20J%22%5BAuthor%5D" TargetMode="External"/><Relationship Id="rId14" Type="http://schemas.openxmlformats.org/officeDocument/2006/relationships/hyperlink" Target="http://www.ncbi.nlm.nih.gov/pubmed?term=Comparative%20genomics%20allowed%20the%20identification%20of%20drug%20targets%20against%20human%20fungal%20pathogens" TargetMode="External"/><Relationship Id="rId22" Type="http://schemas.openxmlformats.org/officeDocument/2006/relationships/hyperlink" Target="http://www.ncbi.nlm.nih.gov/pubmed?term=Majchrzykiewicz-Koehorst%20JA%5BAuthor%5D&amp;cauthor=true&amp;cauthor_uid=24943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1386</Words>
  <Characters>7488</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creator>sec-pbf</dc:creator>
  <cp:lastModifiedBy>Usuário do Windows</cp:lastModifiedBy>
  <cp:revision>4</cp:revision>
  <dcterms:created xsi:type="dcterms:W3CDTF">2019-06-14T17:06:00Z</dcterms:created>
  <dcterms:modified xsi:type="dcterms:W3CDTF">2019-06-14T17:08:00Z</dcterms:modified>
</cp:coreProperties>
</file>