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99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00"/>
          <w:sz w:val="28"/>
          <w:szCs w:val="28"/>
          <w:rtl w:val="0"/>
        </w:rPr>
        <w:t xml:space="preserve">(INSTRUÇÕES PARA O ENVIO DE RESUMOS SIMPLES PARA XX SEMANA ACADÊMICA DE ENGENHARIA DE ALIMENTOS E IV SIMCEA: )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 TÍTULO DO TRABALHO DEVERÁ SER EM FONTE TIMES NEW ROMAN 14, NEGRITO, CENTRALIZADO, ESPAÇO SIMPLES E EM INGLÊS OU PORTUGUÊS (máximo 200 caracteres com espaço)</w:t>
      </w:r>
    </w:p>
    <w:p w:rsidR="00000000" w:rsidDel="00000000" w:rsidP="00000000" w:rsidRDefault="00000000" w:rsidRPr="00000000" w14:paraId="00000004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Fulano de tal 1 , Ciclano de Tal 2 e Beltrano de Tal 3*</w:t>
      </w:r>
    </w:p>
    <w:p w:rsidR="00000000" w:rsidDel="00000000" w:rsidP="00000000" w:rsidRDefault="00000000" w:rsidRPr="00000000" w14:paraId="00000006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1 Aluno DEQ/CTC/UEM, 2 Mestrando ou Doutorando PEQ/UEM, 3 Docente</w:t>
      </w:r>
    </w:p>
    <w:p w:rsidR="00000000" w:rsidDel="00000000" w:rsidP="00000000" w:rsidRDefault="00000000" w:rsidRPr="00000000" w14:paraId="00000008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DEQ/CTC/UEM</w:t>
      </w:r>
    </w:p>
    <w:p w:rsidR="00000000" w:rsidDel="00000000" w:rsidP="00000000" w:rsidRDefault="00000000" w:rsidRPr="00000000" w14:paraId="0000000A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Universidade Estadual de Maringá, Av. Colombo, 5790, Bloco D90, CEP. 87020-900,</w:t>
      </w:r>
    </w:p>
    <w:p w:rsidR="00000000" w:rsidDel="00000000" w:rsidP="00000000" w:rsidRDefault="00000000" w:rsidRPr="00000000" w14:paraId="0000000C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Maringá - PR</w:t>
      </w:r>
    </w:p>
    <w:p w:rsidR="00000000" w:rsidDel="00000000" w:rsidP="00000000" w:rsidRDefault="00000000" w:rsidRPr="00000000" w14:paraId="0000000E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E-mail: quadri@deq.uem.br</w:t>
      </w:r>
    </w:p>
    <w:p w:rsidR="00000000" w:rsidDel="00000000" w:rsidP="00000000" w:rsidRDefault="00000000" w:rsidRPr="00000000" w14:paraId="0000000F">
      <w:pPr>
        <w:jc w:val="center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 composição centesimal, geléia de tamarindo, avaliação sensorial.</w:t>
      </w:r>
    </w:p>
    <w:p w:rsidR="00000000" w:rsidDel="00000000" w:rsidP="00000000" w:rsidRDefault="00000000" w:rsidRPr="00000000" w14:paraId="00000011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Os resumos dos trabalhos a serem submetidos para apresentação na forma de pôster</w:t>
      </w:r>
    </w:p>
    <w:p w:rsidR="00000000" w:rsidDel="00000000" w:rsidP="00000000" w:rsidRDefault="00000000" w:rsidRPr="00000000" w14:paraId="00000012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XIX semana acadêmica de engenharia de alimentos e IV simcea não devem ultrapassar</w:t>
      </w:r>
    </w:p>
    <w:p w:rsidR="00000000" w:rsidDel="00000000" w:rsidP="00000000" w:rsidRDefault="00000000" w:rsidRPr="00000000" w14:paraId="00000013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as dimensões de uma página. Estas instruções foram preparadas no formato em que o</w:t>
      </w:r>
    </w:p>
    <w:p w:rsidR="00000000" w:rsidDel="00000000" w:rsidP="00000000" w:rsidRDefault="00000000" w:rsidRPr="00000000" w14:paraId="00000014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resumo deve ser apresentado. Os nomes e endereços dos autores destas instruções são</w:t>
      </w:r>
    </w:p>
    <w:p w:rsidR="00000000" w:rsidDel="00000000" w:rsidP="00000000" w:rsidRDefault="00000000" w:rsidRPr="00000000" w14:paraId="00000015">
      <w:pPr>
        <w:rPr>
          <w:rFonts w:ascii="Twentieth Century" w:cs="Twentieth Century" w:eastAsia="Twentieth Century" w:hAnsi="Twentieth Century"/>
          <w:sz w:val="26"/>
          <w:szCs w:val="26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fictícios.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Os resumos deverão ser digitados em processador de texto compatível com o Word,</w:t>
      </w:r>
    </w:p>
    <w:p w:rsidR="00000000" w:rsidDel="00000000" w:rsidP="00000000" w:rsidRDefault="00000000" w:rsidRPr="00000000" w14:paraId="00000017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fonte Times New Roman, tamanho 12, espaçamento simples, com margens esquerda,</w:t>
      </w:r>
    </w:p>
    <w:p w:rsidR="00000000" w:rsidDel="00000000" w:rsidP="00000000" w:rsidRDefault="00000000" w:rsidRPr="00000000" w14:paraId="00000018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direita, superior e inferior iguais a 2,5 cm e papel formato A4, e deve conter detalhes</w:t>
      </w:r>
    </w:p>
    <w:p w:rsidR="00000000" w:rsidDel="00000000" w:rsidP="00000000" w:rsidRDefault="00000000" w:rsidRPr="00000000" w14:paraId="00000019">
      <w:pPr>
        <w:rPr>
          <w:rFonts w:ascii="Twentieth Century" w:cs="Twentieth Century" w:eastAsia="Twentieth Century" w:hAnsi="Twentieth Century"/>
          <w:b w:val="1"/>
          <w:bCs w:val="1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suficientes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4"/>
          <w:szCs w:val="24"/>
          <w:rtl w:val="0"/>
        </w:rPr>
        <w:t xml:space="preserve">para expor o problema, a metodologia adotada, os resultados obtidos e</w:t>
      </w:r>
    </w:p>
    <w:p w:rsidR="00000000" w:rsidDel="00000000" w:rsidP="00000000" w:rsidRDefault="00000000" w:rsidRPr="00000000" w14:paraId="0000001A">
      <w:pPr>
        <w:rPr>
          <w:rFonts w:ascii="Twentieth Century" w:cs="Twentieth Century" w:eastAsia="Twentieth Century" w:hAnsi="Twentieth Century"/>
          <w:b w:val="1"/>
          <w:bCs w:val="1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4"/>
          <w:szCs w:val="24"/>
          <w:rtl w:val="0"/>
        </w:rPr>
        <w:t xml:space="preserve">conclusões.</w:t>
      </w:r>
    </w:p>
    <w:p w:rsidR="00000000" w:rsidDel="00000000" w:rsidP="00000000" w:rsidRDefault="00000000" w:rsidRPr="00000000" w14:paraId="0000001B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O arquivo com os resumos deverá ser enviado como anexo para o e-mail</w:t>
      </w:r>
    </w:p>
    <w:p w:rsidR="00000000" w:rsidDel="00000000" w:rsidP="00000000" w:rsidRDefault="00000000" w:rsidRPr="00000000" w14:paraId="0000001C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semaneaesimcea@gmail.com aos cuidados da Comissão Organizadora. Solicita-se que</w:t>
      </w:r>
    </w:p>
    <w:p w:rsidR="00000000" w:rsidDel="00000000" w:rsidP="00000000" w:rsidRDefault="00000000" w:rsidRPr="00000000" w14:paraId="0000001D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o assunto do e-mail contendo o arquivo de resumo seja: o nome do primeiro autor.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tbl>
    <w:tblPr>
      <w:tblStyle w:val="Table2"/>
      <w:tblW w:w="9195.0" w:type="dxa"/>
      <w:jc w:val="left"/>
      <w:tblInd w:w="-19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940"/>
      <w:gridCol w:w="6255"/>
      <w:tblGridChange w:id="0">
        <w:tblGrid>
          <w:gridCol w:w="2940"/>
          <w:gridCol w:w="625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b w:val="1"/>
              <w:bCs w:val="1"/>
              <w:color w:val="99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spacing w:line="240" w:lineRule="auto"/>
            <w:jc w:val="center"/>
            <w:rPr>
              <w:color w:val="99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990000"/>
              <w:sz w:val="24"/>
              <w:szCs w:val="24"/>
              <w:rtl w:val="0"/>
            </w:rPr>
            <w:t xml:space="preserve">            ORGANIZAÇÃO: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414338" cy="414338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338" cy="414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442217" cy="442217"/>
                <wp:effectExtent b="0" l="0" r="0" t="0"/>
                <wp:docPr id="4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17" cy="442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698697" cy="394356"/>
                <wp:effectExtent b="0" l="0" r="0" t="0"/>
                <wp:docPr id="7" name="image6.jpg"/>
                <a:graphic>
                  <a:graphicData uri="http://schemas.openxmlformats.org/drawingml/2006/picture">
                    <pic:pic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97" cy="3943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440826" cy="440826"/>
                <wp:effectExtent b="0" l="0" r="0" t="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826" cy="4408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414496" cy="414496"/>
                <wp:effectExtent b="0" l="0" r="0" t="0"/>
                <wp:docPr id="5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496" cy="4144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9050" distT="19050" distL="19050" distR="19050">
                <wp:extent cx="445852" cy="471646"/>
                <wp:effectExtent b="0" l="0" r="0" t="0"/>
                <wp:docPr id="6" name="image7.jpg"/>
                <a:graphic>
                  <a:graphicData uri="http://schemas.openxmlformats.org/drawingml/2006/picture">
                    <pic:pic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852" cy="4716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335"/>
      <w:gridCol w:w="7665"/>
      <w:tblGridChange w:id="0">
        <w:tblGrid>
          <w:gridCol w:w="1335"/>
          <w:gridCol w:w="7665"/>
        </w:tblGrid>
      </w:tblGridChange>
    </w:tblGrid>
    <w:tr>
      <w:trPr>
        <w:cantSplit w:val="0"/>
        <w:trHeight w:val="1449.5678710937502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823913" cy="823913"/>
                <wp:effectExtent b="0" l="0" r="0" t="0"/>
                <wp:docPr id="2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913" cy="8239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wentieth Century" w:cs="Twentieth Century" w:eastAsia="Twentieth Century" w:hAnsi="Twentieth Century"/>
              <w:sz w:val="30"/>
              <w:szCs w:val="3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wentieth Century" w:cs="Twentieth Century" w:eastAsia="Twentieth Century" w:hAnsi="Twentieth Century"/>
              <w:color w:val="990000"/>
              <w:sz w:val="30"/>
              <w:szCs w:val="30"/>
            </w:rPr>
          </w:pPr>
          <w:r w:rsidDel="00000000" w:rsidR="00000000" w:rsidRPr="00000000">
            <w:rPr>
              <w:rFonts w:ascii="Twentieth Century" w:cs="Twentieth Century" w:eastAsia="Twentieth Century" w:hAnsi="Twentieth Century"/>
              <w:color w:val="990000"/>
              <w:sz w:val="30"/>
              <w:szCs w:val="30"/>
              <w:rtl w:val="0"/>
            </w:rPr>
            <w:t xml:space="preserve">XX SEMANA ACADÊMICA DE ENGENHARIA DE ALIMENTOS E IV SIMCEA</w:t>
          </w:r>
        </w:p>
      </w:tc>
    </w:tr>
  </w:tbl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6.jpg"/><Relationship Id="rId4" Type="http://schemas.openxmlformats.org/officeDocument/2006/relationships/image" Target="media/image2.jpg"/><Relationship Id="rId5" Type="http://schemas.openxmlformats.org/officeDocument/2006/relationships/image" Target="media/image5.jpg"/><Relationship Id="rId6" Type="http://schemas.openxmlformats.org/officeDocument/2006/relationships/image" Target="media/image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