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207DB1">
      <w:r>
        <w:rPr>
          <w:rFonts w:ascii="Arial" w:hAnsi="Arial" w:cs="Arial"/>
          <w:color w:val="000000"/>
          <w:sz w:val="20"/>
          <w:szCs w:val="20"/>
        </w:rPr>
        <w:t xml:space="preserve">Estudos sobre o processamento da Farinha de Vísceras de Aves (FVA) com foco em diferentes funcionalidades em Pet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</w:t>
      </w:r>
      <w:bookmarkStart w:id="0" w:name="_GoBack"/>
      <w:bookmarkEnd w:id="0"/>
      <w:proofErr w:type="spellEnd"/>
    </w:p>
    <w:p w:rsidR="00207DB1" w:rsidRDefault="00207DB1" w:rsidP="00207DB1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Descrição: A Farinha de vísceras de aves (FVA) é a principal fonte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protéica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usada em Pet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devido ao custo acessível, disponibilidade comercial e perfil nutricional. No entanto, o processamento deste ingrediente ainda é empírico, sem uma padronização de tempo e temperatura, o que pode levar a carbonização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protéica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redução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digestibilidade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ingrediente quando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superprocessado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Se por um lado, o processamento excessivo pode reduzir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digestibilidade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aminoácidos da FVA, por outro, tem sido identificada a formação de compostos derivados do processo de oxidação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protéica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denominados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melanoidinas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(MLN). Estes compostos estão presentes em muitos outros alimentos processados e têm apresentado propriedades funcionais, como efeito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palatabilizante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prebiótico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Controlar o tempo e temperatura do processamento da FVA pode favorecer a produção de ingrediente mais digestível quando processado em temperaturas mais brandas e, por outro lado, melhor característica sensorial e fermentativa, quando processado em temperaturas mais elevadas. A identificação desta relação entre o tempo/temperatura e funcionalidade no processamento da FVA irá favorecer o desenvolvimento futuro de ingredientes com diferentes aplicações e até mesmo a extração de compostos com propriedades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nutracêuticas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partir de processos controlados, agregando valor ao ingrediente. Tendo isto em vista, neste projeto propõe-se controle efetivo de processamento das FVA e quantificação da concentração de MLN formadas nas FVA de acordo com a temperatura estimada e seu posterior uso em alimentos para gatos, com inclusão de 30 de FVA. Serão avaliados os efeitos da inclusão de FVA de acordo com a concentração de MLN sobre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palatabilidade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digestibilidade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das dietas e concentração de produtos de fermentação intestinal (ácidos graxos de cadeia curta e ramificada, amônia, aminas biogênicas, compostos fenólicos, pH e lactato) e microbiota dos animais, em um protocolo dose-resposta, permitindo estabelecer a melhor temperatura para se obter o mesmo ingrediente com a otimização dos seus aspectos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funcionais..</w:t>
      </w:r>
      <w:proofErr w:type="gramEnd"/>
    </w:p>
    <w:sectPr w:rsidR="00207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B1"/>
    <w:rsid w:val="00146890"/>
    <w:rsid w:val="002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BFB8-9996-4486-97CA-A1E6E78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2024-04-18T12:22:00Z</dcterms:created>
  <dcterms:modified xsi:type="dcterms:W3CDTF">2024-04-18T12:22:00Z</dcterms:modified>
</cp:coreProperties>
</file>